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BOPtable"/>
        <w:tblpPr w:leftFromText="180" w:rightFromText="180" w:vertAnchor="text" w:tblpY="1"/>
        <w:tblOverlap w:val="never"/>
        <w:tblW w:w="4820" w:type="dxa"/>
        <w:tblBorders>
          <w:top w:val="none" w:sz="0" w:space="0" w:color="auto"/>
          <w:insideH w:val="none" w:sz="0" w:space="0" w:color="auto"/>
        </w:tblBorders>
        <w:tblLayout w:type="fixed"/>
        <w:tblCellMar>
          <w:top w:w="0" w:type="dxa"/>
          <w:bottom w:w="0" w:type="dxa"/>
          <w:right w:w="0" w:type="dxa"/>
        </w:tblCellMar>
        <w:tblLook w:val="0600" w:firstRow="0" w:lastRow="0" w:firstColumn="0" w:lastColumn="0" w:noHBand="1" w:noVBand="1"/>
      </w:tblPr>
      <w:tblGrid>
        <w:gridCol w:w="4820"/>
      </w:tblGrid>
      <w:tr w:rsidR="00433A4A" w:rsidRPr="00631C1B" w14:paraId="511A5016" w14:textId="77777777" w:rsidTr="12517F50">
        <w:trPr>
          <w:trHeight w:val="1531"/>
        </w:trPr>
        <w:tc>
          <w:tcPr>
            <w:tcW w:w="4820" w:type="dxa"/>
            <w:shd w:val="clear" w:color="auto" w:fill="auto"/>
          </w:tcPr>
          <w:p w14:paraId="738504E9" w14:textId="77777777" w:rsidR="00433A4A" w:rsidRPr="00631C1B" w:rsidRDefault="00C05678" w:rsidP="003A4311">
            <w:pPr>
              <w:pStyle w:val="Title"/>
              <w:rPr>
                <w:color w:val="FFFFFF" w:themeColor="background1"/>
                <w:sz w:val="36"/>
              </w:rPr>
            </w:pPr>
            <w:r w:rsidRPr="00631C1B">
              <w:rPr>
                <w:color w:val="FFFFFF" w:themeColor="background1"/>
                <w:szCs w:val="48"/>
              </w:rPr>
              <w:t>Creative Scotland</w:t>
            </w:r>
          </w:p>
        </w:tc>
      </w:tr>
      <w:tr w:rsidR="00433A4A" w:rsidRPr="00631C1B" w14:paraId="7F7DB14F" w14:textId="77777777" w:rsidTr="12517F50">
        <w:trPr>
          <w:trHeight w:val="5896"/>
        </w:trPr>
        <w:tc>
          <w:tcPr>
            <w:tcW w:w="4820" w:type="dxa"/>
            <w:shd w:val="clear" w:color="auto" w:fill="auto"/>
          </w:tcPr>
          <w:p w14:paraId="797F3621" w14:textId="6705841C" w:rsidR="00433A4A" w:rsidRPr="00631C1B" w:rsidRDefault="00281FAF" w:rsidP="003A4311">
            <w:pPr>
              <w:pStyle w:val="Title"/>
              <w:spacing w:after="240"/>
              <w:rPr>
                <w:rFonts w:cs="Arial"/>
                <w:color w:val="FFFFFF" w:themeColor="background1"/>
                <w:sz w:val="50"/>
              </w:rPr>
            </w:pPr>
            <w:proofErr w:type="spellStart"/>
            <w:r w:rsidRPr="00631C1B">
              <w:rPr>
                <w:rFonts w:cs="Arial"/>
                <w:color w:val="FFFFFF" w:themeColor="background1"/>
                <w:sz w:val="50"/>
                <w:szCs w:val="50"/>
              </w:rPr>
              <w:t>CashBack</w:t>
            </w:r>
            <w:proofErr w:type="spellEnd"/>
            <w:r w:rsidR="00C05678" w:rsidRPr="00631C1B">
              <w:rPr>
                <w:rFonts w:cs="Arial"/>
                <w:color w:val="FFFFFF" w:themeColor="background1"/>
                <w:sz w:val="50"/>
                <w:szCs w:val="50"/>
              </w:rPr>
              <w:t xml:space="preserve"> for Creativity</w:t>
            </w:r>
            <w:r w:rsidR="00482B9A" w:rsidRPr="00631C1B">
              <w:rPr>
                <w:rFonts w:cs="Arial"/>
                <w:color w:val="FFFFFF" w:themeColor="background1"/>
                <w:sz w:val="50"/>
                <w:szCs w:val="50"/>
              </w:rPr>
              <w:t xml:space="preserve"> </w:t>
            </w:r>
          </w:p>
          <w:p w14:paraId="204C7D89" w14:textId="62760E50" w:rsidR="00C05678" w:rsidRPr="00631C1B" w:rsidRDefault="00C05678" w:rsidP="003A4311">
            <w:pPr>
              <w:rPr>
                <w:b/>
                <w:color w:val="FFFFFF" w:themeColor="background1"/>
                <w:sz w:val="26"/>
              </w:rPr>
            </w:pPr>
            <w:r w:rsidRPr="00631C1B">
              <w:rPr>
                <w:b/>
                <w:color w:val="FFFFFF" w:themeColor="background1"/>
                <w:sz w:val="26"/>
              </w:rPr>
              <w:t>Phase 4</w:t>
            </w:r>
          </w:p>
          <w:p w14:paraId="661000C1" w14:textId="77777777" w:rsidR="00FE6DDF" w:rsidRPr="00631C1B" w:rsidRDefault="00FE6DDF" w:rsidP="003A4311">
            <w:pPr>
              <w:rPr>
                <w:b/>
                <w:color w:val="FFFFFF" w:themeColor="background1"/>
                <w:sz w:val="26"/>
              </w:rPr>
            </w:pPr>
          </w:p>
          <w:p w14:paraId="3178B9D3" w14:textId="37713099" w:rsidR="00433A4A" w:rsidRPr="00631C1B" w:rsidRDefault="00C05678" w:rsidP="003A4311">
            <w:pPr>
              <w:rPr>
                <w:color w:val="FFFFFF" w:themeColor="background1"/>
                <w:lang w:eastAsia="en-GB"/>
              </w:rPr>
            </w:pPr>
            <w:r w:rsidRPr="00631C1B">
              <w:rPr>
                <w:b/>
                <w:color w:val="FFFFFF" w:themeColor="background1"/>
                <w:sz w:val="26"/>
              </w:rPr>
              <w:t xml:space="preserve">Year </w:t>
            </w:r>
            <w:r w:rsidR="00AB6322" w:rsidRPr="00631C1B">
              <w:rPr>
                <w:b/>
                <w:color w:val="FFFFFF" w:themeColor="background1"/>
                <w:sz w:val="26"/>
              </w:rPr>
              <w:t>3 and Summative E</w:t>
            </w:r>
            <w:r w:rsidRPr="00631C1B">
              <w:rPr>
                <w:b/>
                <w:color w:val="FFFFFF" w:themeColor="background1"/>
                <w:sz w:val="26"/>
              </w:rPr>
              <w:t>valuation</w:t>
            </w:r>
            <w:r w:rsidR="00AB6322" w:rsidRPr="00631C1B">
              <w:rPr>
                <w:b/>
                <w:color w:val="FFFFFF" w:themeColor="background1"/>
                <w:sz w:val="26"/>
              </w:rPr>
              <w:t xml:space="preserve"> Report – </w:t>
            </w:r>
            <w:r w:rsidR="004E4427">
              <w:rPr>
                <w:b/>
                <w:color w:val="FFFFFF" w:themeColor="background1"/>
                <w:sz w:val="26"/>
              </w:rPr>
              <w:t>V2</w:t>
            </w:r>
          </w:p>
        </w:tc>
      </w:tr>
      <w:tr w:rsidR="00433A4A" w:rsidRPr="00631C1B" w14:paraId="17A0E34E" w14:textId="77777777" w:rsidTr="12517F50">
        <w:trPr>
          <w:trHeight w:val="850"/>
        </w:trPr>
        <w:tc>
          <w:tcPr>
            <w:tcW w:w="4820" w:type="dxa"/>
            <w:shd w:val="clear" w:color="auto" w:fill="auto"/>
          </w:tcPr>
          <w:p w14:paraId="140825DA" w14:textId="0B08B45A" w:rsidR="00433A4A" w:rsidRPr="00631C1B" w:rsidRDefault="00BA46D2" w:rsidP="003A4311">
            <w:pPr>
              <w:rPr>
                <w:color w:val="FFFFFF" w:themeColor="background1"/>
                <w:sz w:val="24"/>
              </w:rPr>
            </w:pPr>
            <w:r w:rsidRPr="00631C1B">
              <w:rPr>
                <w:color w:val="FFFFFF" w:themeColor="background1"/>
                <w:sz w:val="26"/>
              </w:rPr>
              <w:t>June</w:t>
            </w:r>
            <w:r w:rsidR="00AB6322" w:rsidRPr="00631C1B">
              <w:rPr>
                <w:color w:val="FFFFFF" w:themeColor="background1"/>
                <w:sz w:val="26"/>
              </w:rPr>
              <w:t xml:space="preserve"> </w:t>
            </w:r>
            <w:r w:rsidR="00C05678" w:rsidRPr="00631C1B">
              <w:rPr>
                <w:color w:val="FFFFFF" w:themeColor="background1"/>
                <w:sz w:val="26"/>
              </w:rPr>
              <w:t>20</w:t>
            </w:r>
            <w:r w:rsidR="004C74AC" w:rsidRPr="00631C1B">
              <w:rPr>
                <w:color w:val="FFFFFF" w:themeColor="background1"/>
                <w:sz w:val="26"/>
              </w:rPr>
              <w:t>20</w:t>
            </w:r>
            <w:r w:rsidR="00433A4A" w:rsidRPr="00631C1B">
              <w:rPr>
                <w:color w:val="FFFFFF" w:themeColor="background1"/>
                <w:sz w:val="26"/>
              </w:rPr>
              <w:t xml:space="preserve"> </w:t>
            </w:r>
          </w:p>
        </w:tc>
      </w:tr>
      <w:tr w:rsidR="00433A4A" w:rsidRPr="00631C1B" w14:paraId="45CDF646" w14:textId="77777777" w:rsidTr="12517F50">
        <w:trPr>
          <w:trHeight w:val="880"/>
        </w:trPr>
        <w:tc>
          <w:tcPr>
            <w:tcW w:w="4820" w:type="dxa"/>
            <w:shd w:val="clear" w:color="auto" w:fill="auto"/>
          </w:tcPr>
          <w:p w14:paraId="123CE947" w14:textId="77777777" w:rsidR="00433A4A" w:rsidRPr="00631C1B" w:rsidRDefault="00433A4A" w:rsidP="003A4311">
            <w:pPr>
              <w:rPr>
                <w:color w:val="FFFFFF" w:themeColor="background1"/>
                <w:sz w:val="26"/>
              </w:rPr>
            </w:pPr>
            <w:r w:rsidRPr="00631C1B">
              <w:rPr>
                <w:noProof/>
                <w:color w:val="FFFFFF" w:themeColor="background1"/>
                <w:sz w:val="24"/>
                <w:lang w:eastAsia="en-GB"/>
              </w:rPr>
              <w:drawing>
                <wp:inline distT="0" distB="0" distL="0" distR="0" wp14:anchorId="5E09037A" wp14:editId="1AD74766">
                  <wp:extent cx="1427927" cy="773285"/>
                  <wp:effectExtent l="0" t="0" r="1270" b="8255"/>
                  <wp:docPr id="19" name="Picture 19" descr="C:\Users\chris\AppData\Local\Microsoft\Windows\INetCache\Content.Word\BOP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AppData\Local\Microsoft\Windows\INetCache\Content.Word\BOP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50" t="1" r="-3760" b="-7737"/>
                          <a:stretch/>
                        </pic:blipFill>
                        <pic:spPr bwMode="auto">
                          <a:xfrm>
                            <a:off x="0" y="0"/>
                            <a:ext cx="1428195" cy="77343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6DBF17" w14:textId="34B19F63" w:rsidR="0032452B" w:rsidRPr="00631C1B" w:rsidRDefault="007F58DB">
      <w:pPr>
        <w:sectPr w:rsidR="0032452B" w:rsidRPr="00631C1B" w:rsidSect="00253A1B">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code="9"/>
          <w:pgMar w:top="1191" w:right="964" w:bottom="284" w:left="1191" w:header="567" w:footer="284" w:gutter="0"/>
          <w:pgNumType w:fmt="lowerRoman" w:start="1"/>
          <w:cols w:space="708"/>
          <w:docGrid w:linePitch="360"/>
        </w:sectPr>
      </w:pPr>
      <w:r w:rsidRPr="00631C1B">
        <w:rPr>
          <w:noProof/>
        </w:rPr>
        <w:drawing>
          <wp:anchor distT="0" distB="0" distL="114300" distR="114300" simplePos="0" relativeHeight="251658240" behindDoc="1" locked="0" layoutInCell="1" allowOverlap="1" wp14:anchorId="09320D7B" wp14:editId="17BE1B8E">
            <wp:simplePos x="0" y="0"/>
            <wp:positionH relativeFrom="column">
              <wp:posOffset>-2711450</wp:posOffset>
            </wp:positionH>
            <wp:positionV relativeFrom="paragraph">
              <wp:posOffset>-756152</wp:posOffset>
            </wp:positionV>
            <wp:extent cx="12961088" cy="7534962"/>
            <wp:effectExtent l="0" t="0" r="0" b="8890"/>
            <wp:wrapNone/>
            <wp:docPr id="2035658499" name="Picture 2035658499" descr="Lyra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Lyra Art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61088" cy="7534962"/>
                    </a:xfrm>
                    <a:prstGeom prst="rect">
                      <a:avLst/>
                    </a:prstGeom>
                    <a:noFill/>
                    <a:ln>
                      <a:noFill/>
                    </a:ln>
                  </pic:spPr>
                </pic:pic>
              </a:graphicData>
            </a:graphic>
            <wp14:sizeRelH relativeFrom="page">
              <wp14:pctWidth>0</wp14:pctWidth>
            </wp14:sizeRelH>
            <wp14:sizeRelV relativeFrom="page">
              <wp14:pctHeight>0</wp14:pctHeight>
            </wp14:sizeRelV>
          </wp:anchor>
        </w:drawing>
      </w:r>
      <w:r w:rsidR="003A4311" w:rsidRPr="00631C1B">
        <w:rPr>
          <w:noProof/>
        </w:rPr>
        <w:br w:type="textWrapping" w:clear="all"/>
      </w:r>
      <w:r w:rsidR="00243825" w:rsidRPr="00631C1B">
        <w:rPr>
          <w:noProof/>
        </w:rPr>
        <mc:AlternateContent>
          <mc:Choice Requires="wps">
            <w:drawing>
              <wp:anchor distT="0" distB="0" distL="114300" distR="114300" simplePos="0" relativeHeight="251658241" behindDoc="1" locked="1" layoutInCell="1" allowOverlap="1" wp14:anchorId="7C77E7EC" wp14:editId="1F095048">
                <wp:simplePos x="0" y="0"/>
                <wp:positionH relativeFrom="page">
                  <wp:align>left</wp:align>
                </wp:positionH>
                <wp:positionV relativeFrom="page">
                  <wp:align>top</wp:align>
                </wp:positionV>
                <wp:extent cx="4777200" cy="7558920"/>
                <wp:effectExtent l="0" t="0" r="4445" b="4445"/>
                <wp:wrapNone/>
                <wp:docPr id="10" name="Trapezoid 10"/>
                <wp:cNvGraphicFramePr/>
                <a:graphic xmlns:a="http://schemas.openxmlformats.org/drawingml/2006/main">
                  <a:graphicData uri="http://schemas.microsoft.com/office/word/2010/wordprocessingShape">
                    <wps:wsp>
                      <wps:cNvSpPr/>
                      <wps:spPr>
                        <a:xfrm>
                          <a:off x="0" y="0"/>
                          <a:ext cx="4777200" cy="7558920"/>
                        </a:xfrm>
                        <a:custGeom>
                          <a:avLst/>
                          <a:gdLst>
                            <a:gd name="connsiteX0" fmla="*/ 0 w 1478280"/>
                            <a:gd name="connsiteY0" fmla="*/ 1371600 h 1371600"/>
                            <a:gd name="connsiteX1" fmla="*/ 266694 w 1478280"/>
                            <a:gd name="connsiteY1" fmla="*/ 0 h 1371600"/>
                            <a:gd name="connsiteX2" fmla="*/ 1211586 w 1478280"/>
                            <a:gd name="connsiteY2" fmla="*/ 0 h 1371600"/>
                            <a:gd name="connsiteX3" fmla="*/ 1478280 w 1478280"/>
                            <a:gd name="connsiteY3" fmla="*/ 1371600 h 1371600"/>
                            <a:gd name="connsiteX4" fmla="*/ 0 w 1478280"/>
                            <a:gd name="connsiteY4" fmla="*/ 1371600 h 1371600"/>
                            <a:gd name="connsiteX0" fmla="*/ 1905 w 1480185"/>
                            <a:gd name="connsiteY0" fmla="*/ 1381125 h 1381125"/>
                            <a:gd name="connsiteX1" fmla="*/ 0 w 1480185"/>
                            <a:gd name="connsiteY1" fmla="*/ 0 h 1381125"/>
                            <a:gd name="connsiteX2" fmla="*/ 1213491 w 1480185"/>
                            <a:gd name="connsiteY2" fmla="*/ 9525 h 1381125"/>
                            <a:gd name="connsiteX3" fmla="*/ 1480185 w 1480185"/>
                            <a:gd name="connsiteY3" fmla="*/ 1381125 h 1381125"/>
                            <a:gd name="connsiteX4" fmla="*/ 1905 w 1480185"/>
                            <a:gd name="connsiteY4" fmla="*/ 1381125 h 1381125"/>
                            <a:gd name="connsiteX0" fmla="*/ 1905 w 1823085"/>
                            <a:gd name="connsiteY0" fmla="*/ 1392555 h 1392555"/>
                            <a:gd name="connsiteX1" fmla="*/ 0 w 1823085"/>
                            <a:gd name="connsiteY1" fmla="*/ 11430 h 1392555"/>
                            <a:gd name="connsiteX2" fmla="*/ 1823085 w 1823085"/>
                            <a:gd name="connsiteY2" fmla="*/ 0 h 1392555"/>
                            <a:gd name="connsiteX3" fmla="*/ 1480185 w 1823085"/>
                            <a:gd name="connsiteY3" fmla="*/ 1392555 h 1392555"/>
                            <a:gd name="connsiteX4" fmla="*/ 1905 w 1823085"/>
                            <a:gd name="connsiteY4" fmla="*/ 1392555 h 1392555"/>
                            <a:gd name="connsiteX0" fmla="*/ 1905 w 2210601"/>
                            <a:gd name="connsiteY0" fmla="*/ 1390461 h 1390461"/>
                            <a:gd name="connsiteX1" fmla="*/ 0 w 2210601"/>
                            <a:gd name="connsiteY1" fmla="*/ 9336 h 1390461"/>
                            <a:gd name="connsiteX2" fmla="*/ 2210601 w 2210601"/>
                            <a:gd name="connsiteY2" fmla="*/ 0 h 1390461"/>
                            <a:gd name="connsiteX3" fmla="*/ 1480185 w 2210601"/>
                            <a:gd name="connsiteY3" fmla="*/ 1390461 h 1390461"/>
                            <a:gd name="connsiteX4" fmla="*/ 1905 w 2210601"/>
                            <a:gd name="connsiteY4" fmla="*/ 1390461 h 1390461"/>
                            <a:gd name="connsiteX0" fmla="*/ 0 w 2208696"/>
                            <a:gd name="connsiteY0" fmla="*/ 1391046 h 1391046"/>
                            <a:gd name="connsiteX1" fmla="*/ 1618 w 2208696"/>
                            <a:gd name="connsiteY1" fmla="*/ 0 h 1391046"/>
                            <a:gd name="connsiteX2" fmla="*/ 2208696 w 2208696"/>
                            <a:gd name="connsiteY2" fmla="*/ 585 h 1391046"/>
                            <a:gd name="connsiteX3" fmla="*/ 1478280 w 2208696"/>
                            <a:gd name="connsiteY3" fmla="*/ 1391046 h 1391046"/>
                            <a:gd name="connsiteX4" fmla="*/ 0 w 2208696"/>
                            <a:gd name="connsiteY4" fmla="*/ 1391046 h 1391046"/>
                            <a:gd name="connsiteX0" fmla="*/ 0 w 2208696"/>
                            <a:gd name="connsiteY0" fmla="*/ 1391046 h 1415362"/>
                            <a:gd name="connsiteX1" fmla="*/ 1618 w 2208696"/>
                            <a:gd name="connsiteY1" fmla="*/ 0 h 1415362"/>
                            <a:gd name="connsiteX2" fmla="*/ 2208696 w 2208696"/>
                            <a:gd name="connsiteY2" fmla="*/ 585 h 1415362"/>
                            <a:gd name="connsiteX3" fmla="*/ 1384582 w 2208696"/>
                            <a:gd name="connsiteY3" fmla="*/ 1415362 h 1415362"/>
                            <a:gd name="connsiteX4" fmla="*/ 0 w 2208696"/>
                            <a:gd name="connsiteY4" fmla="*/ 1391046 h 1415362"/>
                            <a:gd name="connsiteX0" fmla="*/ 0 w 2208696"/>
                            <a:gd name="connsiteY0" fmla="*/ 1417627 h 1417627"/>
                            <a:gd name="connsiteX1" fmla="*/ 1618 w 2208696"/>
                            <a:gd name="connsiteY1" fmla="*/ 0 h 1417627"/>
                            <a:gd name="connsiteX2" fmla="*/ 2208696 w 2208696"/>
                            <a:gd name="connsiteY2" fmla="*/ 585 h 1417627"/>
                            <a:gd name="connsiteX3" fmla="*/ 1384582 w 2208696"/>
                            <a:gd name="connsiteY3" fmla="*/ 1415362 h 1417627"/>
                            <a:gd name="connsiteX4" fmla="*/ 0 w 2208696"/>
                            <a:gd name="connsiteY4" fmla="*/ 1417627 h 141762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08696" h="1417627">
                              <a:moveTo>
                                <a:pt x="0" y="1417627"/>
                              </a:moveTo>
                              <a:cubicBezTo>
                                <a:pt x="539" y="953945"/>
                                <a:pt x="1079" y="463682"/>
                                <a:pt x="1618" y="0"/>
                              </a:cubicBezTo>
                              <a:lnTo>
                                <a:pt x="2208696" y="585"/>
                              </a:lnTo>
                              <a:lnTo>
                                <a:pt x="1384582" y="1415362"/>
                              </a:lnTo>
                              <a:lnTo>
                                <a:pt x="0" y="1417627"/>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9AF8" id="Trapezoid 10" o:spid="_x0000_s1026" style="position:absolute;margin-left:0;margin-top:0;width:376.15pt;height:595.2pt;z-index:-25165823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2208696,1417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" path="m,1417627c539,953945,1079,463682,1618,l2208696,585,1384582,1415362,,1417627xe" fillcolor="#3c5896 [3204]" stroked="f" strokeweight="2pt">
                <v:path arrowok="t" o:connecttype="custom" o:connectlocs="0,7558920;3500,0;4777200,3119;2994720,7546843;0,7558920" o:connectangles="0,0,0,0,0"/>
                <w10:wrap anchorx="page" anchory="page"/>
                <w10:anchorlock/>
              </v:shape>
            </w:pict>
          </mc:Fallback>
        </mc:AlternateContent>
      </w:r>
    </w:p>
    <w:tbl>
      <w:tblPr>
        <w:tblStyle w:val="TableGrid"/>
        <w:tblW w:w="15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27" w:type="dxa"/>
        </w:tblCellMar>
        <w:tblLook w:val="00A0" w:firstRow="1" w:lastRow="0" w:firstColumn="1" w:lastColumn="0" w:noHBand="0" w:noVBand="0"/>
      </w:tblPr>
      <w:tblGrid>
        <w:gridCol w:w="5016"/>
        <w:gridCol w:w="5016"/>
        <w:gridCol w:w="5016"/>
      </w:tblGrid>
      <w:tr w:rsidR="00C419D8" w:rsidRPr="00631C1B" w14:paraId="414F00BA" w14:textId="77777777" w:rsidTr="12517F50">
        <w:trPr>
          <w:trHeight w:val="2160"/>
        </w:trPr>
        <w:tc>
          <w:tcPr>
            <w:tcW w:w="15048" w:type="dxa"/>
            <w:gridSpan w:val="3"/>
          </w:tcPr>
          <w:p w14:paraId="524878CC" w14:textId="3781DAF5" w:rsidR="00C419D8" w:rsidRPr="00631C1B" w:rsidRDefault="00C419D8" w:rsidP="00BD2E41">
            <w:pPr>
              <w:pStyle w:val="Title"/>
              <w:rPr>
                <w:sz w:val="42"/>
                <w:szCs w:val="42"/>
              </w:rPr>
            </w:pPr>
            <w:r w:rsidRPr="00631C1B">
              <w:rPr>
                <w:sz w:val="42"/>
                <w:szCs w:val="42"/>
              </w:rPr>
              <w:lastRenderedPageBreak/>
              <w:t>Credits</w:t>
            </w:r>
          </w:p>
        </w:tc>
      </w:tr>
      <w:tr w:rsidR="00C419D8" w:rsidRPr="00631C1B" w14:paraId="32D131E3" w14:textId="77777777" w:rsidTr="12517F50">
        <w:trPr>
          <w:trHeight w:val="5033"/>
        </w:trPr>
        <w:tc>
          <w:tcPr>
            <w:tcW w:w="15048" w:type="dxa"/>
            <w:gridSpan w:val="3"/>
          </w:tcPr>
          <w:p w14:paraId="0EDBB883" w14:textId="77777777" w:rsidR="00C419D8" w:rsidRPr="00631C1B" w:rsidRDefault="00C419D8" w:rsidP="00BD2E41">
            <w:pPr>
              <w:pStyle w:val="Subheadingnonumber"/>
            </w:pPr>
            <w:r w:rsidRPr="00631C1B">
              <w:t>Written and prepared by</w:t>
            </w:r>
          </w:p>
          <w:p w14:paraId="1E42445F" w14:textId="44158389" w:rsidR="00C419D8" w:rsidRPr="00631C1B" w:rsidRDefault="0066184D" w:rsidP="00BD2E41">
            <w:pPr>
              <w:pStyle w:val="BodyText"/>
              <w:spacing w:after="0"/>
            </w:pPr>
            <w:r w:rsidRPr="00631C1B">
              <w:t>Joshua Dedman</w:t>
            </w:r>
            <w:r w:rsidR="00406358" w:rsidRPr="00631C1B">
              <w:t xml:space="preserve">, </w:t>
            </w:r>
            <w:r w:rsidRPr="00631C1B">
              <w:t>Douglas Lonie</w:t>
            </w:r>
            <w:r w:rsidR="005F4B6C" w:rsidRPr="00631C1B">
              <w:t xml:space="preserve"> and Barbara McKissack</w:t>
            </w:r>
            <w:r w:rsidR="00C419D8" w:rsidRPr="00631C1B">
              <w:t>, BOP Consulting</w:t>
            </w:r>
          </w:p>
          <w:p w14:paraId="6F45AEA0" w14:textId="77777777" w:rsidR="00C419D8" w:rsidRPr="00631C1B" w:rsidRDefault="00C419D8" w:rsidP="00BD2E41">
            <w:pPr>
              <w:pStyle w:val="BodyText"/>
              <w:spacing w:after="0"/>
            </w:pPr>
          </w:p>
          <w:p w14:paraId="28D4ADDD" w14:textId="6B7B65A4" w:rsidR="00665CD0" w:rsidRPr="00631C1B" w:rsidRDefault="00C419D8" w:rsidP="00C419D8">
            <w:pPr>
              <w:pStyle w:val="Subheadingnonumber"/>
            </w:pPr>
            <w:r w:rsidRPr="00631C1B">
              <w:t>Image credit</w:t>
            </w:r>
          </w:p>
          <w:p w14:paraId="440A094F" w14:textId="3D17C30A" w:rsidR="00946360" w:rsidRPr="00631C1B" w:rsidRDefault="00AF1878" w:rsidP="00665CD0">
            <w:pPr>
              <w:pStyle w:val="BodyText"/>
            </w:pPr>
            <w:r w:rsidRPr="00631C1B">
              <w:rPr>
                <w:rStyle w:val="BodyTextIndentChar"/>
              </w:rPr>
              <w:t>Creative Scotland</w:t>
            </w:r>
          </w:p>
          <w:p w14:paraId="60F1AEF1" w14:textId="09F807EF" w:rsidR="00C419D8" w:rsidRPr="00631C1B" w:rsidRDefault="00C419D8" w:rsidP="00F4046E">
            <w:pPr>
              <w:pStyle w:val="BodyText"/>
              <w:spacing w:after="0"/>
            </w:pPr>
          </w:p>
        </w:tc>
      </w:tr>
      <w:tr w:rsidR="00C419D8" w:rsidRPr="00631C1B" w14:paraId="3C4818F8" w14:textId="77777777" w:rsidTr="12517F50">
        <w:trPr>
          <w:trHeight w:hRule="exact" w:val="1304"/>
        </w:trPr>
        <w:tc>
          <w:tcPr>
            <w:tcW w:w="5016" w:type="dxa"/>
            <w:vAlign w:val="bottom"/>
          </w:tcPr>
          <w:p w14:paraId="1E739F3E" w14:textId="77777777" w:rsidR="00C419D8" w:rsidRPr="00631C1B" w:rsidRDefault="00C419D8" w:rsidP="00BD2E41">
            <w:pPr>
              <w:spacing w:after="120"/>
              <w:rPr>
                <w:b/>
              </w:rPr>
            </w:pPr>
            <w:r w:rsidRPr="00631C1B">
              <w:rPr>
                <w:b/>
                <w:color w:val="3C5896" w:themeColor="accent1"/>
              </w:rPr>
              <w:t>__</w:t>
            </w:r>
          </w:p>
          <w:p w14:paraId="54B0D5D4" w14:textId="77777777" w:rsidR="00C419D8" w:rsidRPr="00631C1B" w:rsidRDefault="00C419D8" w:rsidP="00BD2E41">
            <w:r w:rsidRPr="00631C1B">
              <w:rPr>
                <w:noProof/>
              </w:rPr>
              <w:drawing>
                <wp:inline distT="0" distB="0" distL="0" distR="0" wp14:anchorId="4359A443" wp14:editId="119F6657">
                  <wp:extent cx="1263015" cy="565785"/>
                  <wp:effectExtent l="0" t="0" r="0" b="5715"/>
                  <wp:docPr id="20356585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1263015" cy="565785"/>
                          </a:xfrm>
                          <a:prstGeom prst="rect">
                            <a:avLst/>
                          </a:prstGeom>
                        </pic:spPr>
                      </pic:pic>
                    </a:graphicData>
                  </a:graphic>
                </wp:inline>
              </w:drawing>
            </w:r>
          </w:p>
        </w:tc>
        <w:tc>
          <w:tcPr>
            <w:tcW w:w="5016" w:type="dxa"/>
            <w:vAlign w:val="bottom"/>
          </w:tcPr>
          <w:p w14:paraId="1F080AB9" w14:textId="77777777" w:rsidR="00C419D8" w:rsidRPr="00631C1B" w:rsidRDefault="00C419D8" w:rsidP="00BD2E41"/>
        </w:tc>
        <w:tc>
          <w:tcPr>
            <w:tcW w:w="5016" w:type="dxa"/>
            <w:vAlign w:val="bottom"/>
          </w:tcPr>
          <w:p w14:paraId="1290137B" w14:textId="77777777" w:rsidR="00C419D8" w:rsidRPr="00631C1B" w:rsidRDefault="00C419D8" w:rsidP="00BD2E41">
            <w:r w:rsidRPr="00631C1B">
              <w:t xml:space="preserve"> </w:t>
            </w:r>
          </w:p>
        </w:tc>
      </w:tr>
    </w:tbl>
    <w:p w14:paraId="34F2C048" w14:textId="77777777" w:rsidR="00C419D8" w:rsidRPr="00631C1B" w:rsidRDefault="00C419D8" w:rsidP="00C419D8">
      <w:r w:rsidRPr="00631C1B">
        <w:br w:type="page"/>
      </w:r>
    </w:p>
    <w:p w14:paraId="5FC749FE" w14:textId="77777777" w:rsidR="003961BB" w:rsidRPr="00631C1B" w:rsidRDefault="003961BB" w:rsidP="003961BB">
      <w:pPr>
        <w:pStyle w:val="Title"/>
        <w:rPr>
          <w:sz w:val="42"/>
        </w:rPr>
      </w:pPr>
      <w:r w:rsidRPr="00631C1B">
        <w:rPr>
          <w:sz w:val="42"/>
        </w:rPr>
        <w:lastRenderedPageBreak/>
        <w:t>Contents</w:t>
      </w:r>
    </w:p>
    <w:p w14:paraId="7B6E8C2E" w14:textId="77777777" w:rsidR="000F1692" w:rsidRPr="00631C1B" w:rsidRDefault="000F1692">
      <w:pPr>
        <w:sectPr w:rsidR="000F1692" w:rsidRPr="00631C1B" w:rsidSect="00A508FD">
          <w:headerReference w:type="default" r:id="rId20"/>
          <w:footerReference w:type="default" r:id="rId21"/>
          <w:pgSz w:w="16838" w:h="11906" w:orient="landscape" w:code="9"/>
          <w:pgMar w:top="1440" w:right="964" w:bottom="567" w:left="964" w:header="567" w:footer="567" w:gutter="0"/>
          <w:pgNumType w:fmt="lowerRoman" w:start="1"/>
          <w:cols w:space="708"/>
          <w:docGrid w:linePitch="360"/>
        </w:sectPr>
      </w:pPr>
    </w:p>
    <w:p w14:paraId="01CE83CC" w14:textId="297997C9" w:rsidR="004E4427" w:rsidRDefault="00A673B1">
      <w:pPr>
        <w:pStyle w:val="TOC1"/>
        <w:rPr>
          <w:rFonts w:asciiTheme="minorHAnsi" w:eastAsiaTheme="minorEastAsia" w:hAnsiTheme="minorHAnsi"/>
          <w:b w:val="0"/>
          <w:color w:val="auto"/>
          <w:szCs w:val="22"/>
          <w:lang w:eastAsia="en-GB"/>
        </w:rPr>
      </w:pPr>
      <w:r w:rsidRPr="00631C1B">
        <w:fldChar w:fldCharType="begin"/>
      </w:r>
      <w:r w:rsidRPr="00631C1B">
        <w:instrText xml:space="preserve"> TOC \o "1-</w:instrText>
      </w:r>
      <w:r w:rsidR="00543254" w:rsidRPr="00631C1B">
        <w:instrText>2</w:instrText>
      </w:r>
      <w:r w:rsidRPr="00631C1B">
        <w:instrText xml:space="preserve">" \h \z \u </w:instrText>
      </w:r>
      <w:r w:rsidRPr="00631C1B">
        <w:fldChar w:fldCharType="separate"/>
      </w:r>
      <w:hyperlink w:anchor="_Toc43980010" w:history="1">
        <w:r w:rsidR="004E4427" w:rsidRPr="00E1771D">
          <w:rPr>
            <w:rStyle w:val="Hyperlink"/>
          </w:rPr>
          <w:t>Executive Summary</w:t>
        </w:r>
        <w:r w:rsidR="004E4427">
          <w:rPr>
            <w:webHidden/>
          </w:rPr>
          <w:tab/>
        </w:r>
        <w:r w:rsidR="004E4427">
          <w:rPr>
            <w:webHidden/>
          </w:rPr>
          <w:fldChar w:fldCharType="begin"/>
        </w:r>
        <w:r w:rsidR="004E4427">
          <w:rPr>
            <w:webHidden/>
          </w:rPr>
          <w:instrText xml:space="preserve"> PAGEREF _Toc43980010 \h </w:instrText>
        </w:r>
        <w:r w:rsidR="004E4427">
          <w:rPr>
            <w:webHidden/>
          </w:rPr>
        </w:r>
        <w:r w:rsidR="004E4427">
          <w:rPr>
            <w:webHidden/>
          </w:rPr>
          <w:fldChar w:fldCharType="separate"/>
        </w:r>
        <w:r w:rsidR="004E4427">
          <w:rPr>
            <w:webHidden/>
          </w:rPr>
          <w:t>4</w:t>
        </w:r>
        <w:r w:rsidR="004E4427">
          <w:rPr>
            <w:webHidden/>
          </w:rPr>
          <w:fldChar w:fldCharType="end"/>
        </w:r>
      </w:hyperlink>
    </w:p>
    <w:p w14:paraId="6AA2CF3F" w14:textId="5BA4DCD5" w:rsidR="004E4427" w:rsidRDefault="00842AD4">
      <w:pPr>
        <w:pStyle w:val="TOC1"/>
        <w:rPr>
          <w:rFonts w:asciiTheme="minorHAnsi" w:eastAsiaTheme="minorEastAsia" w:hAnsiTheme="minorHAnsi"/>
          <w:b w:val="0"/>
          <w:color w:val="auto"/>
          <w:szCs w:val="22"/>
          <w:lang w:eastAsia="en-GB"/>
        </w:rPr>
      </w:pPr>
      <w:hyperlink w:anchor="_Toc43980011" w:history="1">
        <w:r w:rsidR="004E4427" w:rsidRPr="00E1771D">
          <w:rPr>
            <w:rStyle w:val="Hyperlink"/>
          </w:rPr>
          <w:t>1. Background</w:t>
        </w:r>
        <w:r w:rsidR="004E4427">
          <w:rPr>
            <w:webHidden/>
          </w:rPr>
          <w:tab/>
        </w:r>
        <w:r w:rsidR="004E4427">
          <w:rPr>
            <w:webHidden/>
          </w:rPr>
          <w:fldChar w:fldCharType="begin"/>
        </w:r>
        <w:r w:rsidR="004E4427">
          <w:rPr>
            <w:webHidden/>
          </w:rPr>
          <w:instrText xml:space="preserve"> PAGEREF _Toc43980011 \h </w:instrText>
        </w:r>
        <w:r w:rsidR="004E4427">
          <w:rPr>
            <w:webHidden/>
          </w:rPr>
        </w:r>
        <w:r w:rsidR="004E4427">
          <w:rPr>
            <w:webHidden/>
          </w:rPr>
          <w:fldChar w:fldCharType="separate"/>
        </w:r>
        <w:r w:rsidR="004E4427">
          <w:rPr>
            <w:webHidden/>
          </w:rPr>
          <w:t>8</w:t>
        </w:r>
        <w:r w:rsidR="004E4427">
          <w:rPr>
            <w:webHidden/>
          </w:rPr>
          <w:fldChar w:fldCharType="end"/>
        </w:r>
      </w:hyperlink>
    </w:p>
    <w:p w14:paraId="02F58F31" w14:textId="312B24F1" w:rsidR="004E4427" w:rsidRDefault="00842AD4">
      <w:pPr>
        <w:pStyle w:val="TOC2"/>
        <w:rPr>
          <w:rFonts w:asciiTheme="minorHAnsi" w:eastAsiaTheme="minorEastAsia" w:hAnsiTheme="minorHAnsi"/>
          <w:sz w:val="22"/>
          <w:szCs w:val="22"/>
          <w:lang w:eastAsia="en-GB"/>
        </w:rPr>
      </w:pPr>
      <w:hyperlink w:anchor="_Toc43980012" w:history="1">
        <w:r w:rsidR="004E4427" w:rsidRPr="00E1771D">
          <w:rPr>
            <w:rStyle w:val="Hyperlink"/>
          </w:rPr>
          <w:t>1.1 CashBack for Creativity</w:t>
        </w:r>
        <w:r w:rsidR="004E4427">
          <w:rPr>
            <w:webHidden/>
          </w:rPr>
          <w:tab/>
        </w:r>
        <w:r w:rsidR="004E4427">
          <w:rPr>
            <w:webHidden/>
          </w:rPr>
          <w:fldChar w:fldCharType="begin"/>
        </w:r>
        <w:r w:rsidR="004E4427">
          <w:rPr>
            <w:webHidden/>
          </w:rPr>
          <w:instrText xml:space="preserve"> PAGEREF _Toc43980012 \h </w:instrText>
        </w:r>
        <w:r w:rsidR="004E4427">
          <w:rPr>
            <w:webHidden/>
          </w:rPr>
        </w:r>
        <w:r w:rsidR="004E4427">
          <w:rPr>
            <w:webHidden/>
          </w:rPr>
          <w:fldChar w:fldCharType="separate"/>
        </w:r>
        <w:r w:rsidR="004E4427">
          <w:rPr>
            <w:webHidden/>
          </w:rPr>
          <w:t>8</w:t>
        </w:r>
        <w:r w:rsidR="004E4427">
          <w:rPr>
            <w:webHidden/>
          </w:rPr>
          <w:fldChar w:fldCharType="end"/>
        </w:r>
      </w:hyperlink>
    </w:p>
    <w:p w14:paraId="2182F31D" w14:textId="7D2C601A" w:rsidR="004E4427" w:rsidRDefault="00842AD4">
      <w:pPr>
        <w:pStyle w:val="TOC2"/>
        <w:rPr>
          <w:rFonts w:asciiTheme="minorHAnsi" w:eastAsiaTheme="minorEastAsia" w:hAnsiTheme="minorHAnsi"/>
          <w:sz w:val="22"/>
          <w:szCs w:val="22"/>
          <w:lang w:eastAsia="en-GB"/>
        </w:rPr>
      </w:pPr>
      <w:hyperlink w:anchor="_Toc43980013" w:history="1">
        <w:r w:rsidR="004E4427" w:rsidRPr="00E1771D">
          <w:rPr>
            <w:rStyle w:val="Hyperlink"/>
          </w:rPr>
          <w:t>1.2 Evaluation approach and CashBack for Creativity</w:t>
        </w:r>
        <w:r w:rsidR="004E4427">
          <w:rPr>
            <w:webHidden/>
          </w:rPr>
          <w:tab/>
        </w:r>
        <w:r w:rsidR="004E4427">
          <w:rPr>
            <w:webHidden/>
          </w:rPr>
          <w:fldChar w:fldCharType="begin"/>
        </w:r>
        <w:r w:rsidR="004E4427">
          <w:rPr>
            <w:webHidden/>
          </w:rPr>
          <w:instrText xml:space="preserve"> PAGEREF _Toc43980013 \h </w:instrText>
        </w:r>
        <w:r w:rsidR="004E4427">
          <w:rPr>
            <w:webHidden/>
          </w:rPr>
        </w:r>
        <w:r w:rsidR="004E4427">
          <w:rPr>
            <w:webHidden/>
          </w:rPr>
          <w:fldChar w:fldCharType="separate"/>
        </w:r>
        <w:r w:rsidR="004E4427">
          <w:rPr>
            <w:webHidden/>
          </w:rPr>
          <w:t>8</w:t>
        </w:r>
        <w:r w:rsidR="004E4427">
          <w:rPr>
            <w:webHidden/>
          </w:rPr>
          <w:fldChar w:fldCharType="end"/>
        </w:r>
      </w:hyperlink>
    </w:p>
    <w:p w14:paraId="37B56EBD" w14:textId="5D30B769" w:rsidR="004E4427" w:rsidRDefault="00842AD4">
      <w:pPr>
        <w:pStyle w:val="TOC2"/>
        <w:rPr>
          <w:rFonts w:asciiTheme="minorHAnsi" w:eastAsiaTheme="minorEastAsia" w:hAnsiTheme="minorHAnsi"/>
          <w:sz w:val="22"/>
          <w:szCs w:val="22"/>
          <w:lang w:eastAsia="en-GB"/>
        </w:rPr>
      </w:pPr>
      <w:hyperlink w:anchor="_Toc43980014" w:history="1">
        <w:r w:rsidR="004E4427" w:rsidRPr="00E1771D">
          <w:rPr>
            <w:rStyle w:val="Hyperlink"/>
          </w:rPr>
          <w:t>1.3 Interpretation of evaluation findings</w:t>
        </w:r>
        <w:r w:rsidR="004E4427">
          <w:rPr>
            <w:webHidden/>
          </w:rPr>
          <w:tab/>
        </w:r>
        <w:r w:rsidR="004E4427">
          <w:rPr>
            <w:webHidden/>
          </w:rPr>
          <w:fldChar w:fldCharType="begin"/>
        </w:r>
        <w:r w:rsidR="004E4427">
          <w:rPr>
            <w:webHidden/>
          </w:rPr>
          <w:instrText xml:space="preserve"> PAGEREF _Toc43980014 \h </w:instrText>
        </w:r>
        <w:r w:rsidR="004E4427">
          <w:rPr>
            <w:webHidden/>
          </w:rPr>
        </w:r>
        <w:r w:rsidR="004E4427">
          <w:rPr>
            <w:webHidden/>
          </w:rPr>
          <w:fldChar w:fldCharType="separate"/>
        </w:r>
        <w:r w:rsidR="004E4427">
          <w:rPr>
            <w:webHidden/>
          </w:rPr>
          <w:t>9</w:t>
        </w:r>
        <w:r w:rsidR="004E4427">
          <w:rPr>
            <w:webHidden/>
          </w:rPr>
          <w:fldChar w:fldCharType="end"/>
        </w:r>
      </w:hyperlink>
    </w:p>
    <w:p w14:paraId="466612EA" w14:textId="1CB30A93" w:rsidR="004E4427" w:rsidRDefault="00842AD4">
      <w:pPr>
        <w:pStyle w:val="TOC2"/>
        <w:rPr>
          <w:rFonts w:asciiTheme="minorHAnsi" w:eastAsiaTheme="minorEastAsia" w:hAnsiTheme="minorHAnsi"/>
          <w:sz w:val="22"/>
          <w:szCs w:val="22"/>
          <w:lang w:eastAsia="en-GB"/>
        </w:rPr>
      </w:pPr>
      <w:hyperlink w:anchor="_Toc43980015" w:history="1">
        <w:r w:rsidR="004E4427" w:rsidRPr="00E1771D">
          <w:rPr>
            <w:rStyle w:val="Hyperlink"/>
          </w:rPr>
          <w:t>1.4 Profile of programme participants</w:t>
        </w:r>
        <w:r w:rsidR="004E4427">
          <w:rPr>
            <w:webHidden/>
          </w:rPr>
          <w:tab/>
        </w:r>
        <w:r w:rsidR="004E4427">
          <w:rPr>
            <w:webHidden/>
          </w:rPr>
          <w:fldChar w:fldCharType="begin"/>
        </w:r>
        <w:r w:rsidR="004E4427">
          <w:rPr>
            <w:webHidden/>
          </w:rPr>
          <w:instrText xml:space="preserve"> PAGEREF _Toc43980015 \h </w:instrText>
        </w:r>
        <w:r w:rsidR="004E4427">
          <w:rPr>
            <w:webHidden/>
          </w:rPr>
        </w:r>
        <w:r w:rsidR="004E4427">
          <w:rPr>
            <w:webHidden/>
          </w:rPr>
          <w:fldChar w:fldCharType="separate"/>
        </w:r>
        <w:r w:rsidR="004E4427">
          <w:rPr>
            <w:webHidden/>
          </w:rPr>
          <w:t>9</w:t>
        </w:r>
        <w:r w:rsidR="004E4427">
          <w:rPr>
            <w:webHidden/>
          </w:rPr>
          <w:fldChar w:fldCharType="end"/>
        </w:r>
      </w:hyperlink>
    </w:p>
    <w:p w14:paraId="54F07512" w14:textId="7BCA039D" w:rsidR="004E4427" w:rsidRDefault="00842AD4">
      <w:pPr>
        <w:pStyle w:val="TOC1"/>
        <w:rPr>
          <w:rFonts w:asciiTheme="minorHAnsi" w:eastAsiaTheme="minorEastAsia" w:hAnsiTheme="minorHAnsi"/>
          <w:b w:val="0"/>
          <w:color w:val="auto"/>
          <w:szCs w:val="22"/>
          <w:lang w:eastAsia="en-GB"/>
        </w:rPr>
      </w:pPr>
      <w:hyperlink w:anchor="_Toc43980016" w:history="1">
        <w:r w:rsidR="004E4427" w:rsidRPr="00E1771D">
          <w:rPr>
            <w:rStyle w:val="Hyperlink"/>
          </w:rPr>
          <w:t>2. Impact on organisations</w:t>
        </w:r>
        <w:r w:rsidR="004E4427">
          <w:rPr>
            <w:webHidden/>
          </w:rPr>
          <w:tab/>
        </w:r>
        <w:r w:rsidR="004E4427">
          <w:rPr>
            <w:webHidden/>
          </w:rPr>
          <w:fldChar w:fldCharType="begin"/>
        </w:r>
        <w:r w:rsidR="004E4427">
          <w:rPr>
            <w:webHidden/>
          </w:rPr>
          <w:instrText xml:space="preserve"> PAGEREF _Toc43980016 \h </w:instrText>
        </w:r>
        <w:r w:rsidR="004E4427">
          <w:rPr>
            <w:webHidden/>
          </w:rPr>
        </w:r>
        <w:r w:rsidR="004E4427">
          <w:rPr>
            <w:webHidden/>
          </w:rPr>
          <w:fldChar w:fldCharType="separate"/>
        </w:r>
        <w:r w:rsidR="004E4427">
          <w:rPr>
            <w:webHidden/>
          </w:rPr>
          <w:t>12</w:t>
        </w:r>
        <w:r w:rsidR="004E4427">
          <w:rPr>
            <w:webHidden/>
          </w:rPr>
          <w:fldChar w:fldCharType="end"/>
        </w:r>
      </w:hyperlink>
    </w:p>
    <w:p w14:paraId="27C81A1E" w14:textId="3704FB79" w:rsidR="004E4427" w:rsidRDefault="00842AD4">
      <w:pPr>
        <w:pStyle w:val="TOC1"/>
        <w:rPr>
          <w:rFonts w:asciiTheme="minorHAnsi" w:eastAsiaTheme="minorEastAsia" w:hAnsiTheme="minorHAnsi"/>
          <w:b w:val="0"/>
          <w:color w:val="auto"/>
          <w:szCs w:val="22"/>
          <w:lang w:eastAsia="en-GB"/>
        </w:rPr>
      </w:pPr>
      <w:hyperlink w:anchor="_Toc43980017" w:history="1">
        <w:r w:rsidR="004E4427" w:rsidRPr="00E1771D">
          <w:rPr>
            <w:rStyle w:val="Hyperlink"/>
          </w:rPr>
          <w:t>3. Impact on communities</w:t>
        </w:r>
        <w:r w:rsidR="004E4427">
          <w:rPr>
            <w:webHidden/>
          </w:rPr>
          <w:tab/>
        </w:r>
        <w:r w:rsidR="004E4427">
          <w:rPr>
            <w:webHidden/>
          </w:rPr>
          <w:fldChar w:fldCharType="begin"/>
        </w:r>
        <w:r w:rsidR="004E4427">
          <w:rPr>
            <w:webHidden/>
          </w:rPr>
          <w:instrText xml:space="preserve"> PAGEREF _Toc43980017 \h </w:instrText>
        </w:r>
        <w:r w:rsidR="004E4427">
          <w:rPr>
            <w:webHidden/>
          </w:rPr>
        </w:r>
        <w:r w:rsidR="004E4427">
          <w:rPr>
            <w:webHidden/>
          </w:rPr>
          <w:fldChar w:fldCharType="separate"/>
        </w:r>
        <w:r w:rsidR="004E4427">
          <w:rPr>
            <w:webHidden/>
          </w:rPr>
          <w:t>14</w:t>
        </w:r>
        <w:r w:rsidR="004E4427">
          <w:rPr>
            <w:webHidden/>
          </w:rPr>
          <w:fldChar w:fldCharType="end"/>
        </w:r>
      </w:hyperlink>
    </w:p>
    <w:p w14:paraId="429EBDED" w14:textId="03C2A8BF" w:rsidR="004E4427" w:rsidRDefault="00842AD4">
      <w:pPr>
        <w:pStyle w:val="TOC1"/>
        <w:rPr>
          <w:rFonts w:asciiTheme="minorHAnsi" w:eastAsiaTheme="minorEastAsia" w:hAnsiTheme="minorHAnsi"/>
          <w:b w:val="0"/>
          <w:color w:val="auto"/>
          <w:szCs w:val="22"/>
          <w:lang w:eastAsia="en-GB"/>
        </w:rPr>
      </w:pPr>
      <w:hyperlink w:anchor="_Toc43980018" w:history="1">
        <w:r w:rsidR="004E4427" w:rsidRPr="00E1771D">
          <w:rPr>
            <w:rStyle w:val="Hyperlink"/>
          </w:rPr>
          <w:t>4. Building capacity and confidence</w:t>
        </w:r>
        <w:r w:rsidR="004E4427">
          <w:rPr>
            <w:webHidden/>
          </w:rPr>
          <w:tab/>
        </w:r>
        <w:r w:rsidR="004E4427">
          <w:rPr>
            <w:webHidden/>
          </w:rPr>
          <w:fldChar w:fldCharType="begin"/>
        </w:r>
        <w:r w:rsidR="004E4427">
          <w:rPr>
            <w:webHidden/>
          </w:rPr>
          <w:instrText xml:space="preserve"> PAGEREF _Toc43980018 \h </w:instrText>
        </w:r>
        <w:r w:rsidR="004E4427">
          <w:rPr>
            <w:webHidden/>
          </w:rPr>
        </w:r>
        <w:r w:rsidR="004E4427">
          <w:rPr>
            <w:webHidden/>
          </w:rPr>
          <w:fldChar w:fldCharType="separate"/>
        </w:r>
        <w:r w:rsidR="004E4427">
          <w:rPr>
            <w:webHidden/>
          </w:rPr>
          <w:t>16</w:t>
        </w:r>
        <w:r w:rsidR="004E4427">
          <w:rPr>
            <w:webHidden/>
          </w:rPr>
          <w:fldChar w:fldCharType="end"/>
        </w:r>
      </w:hyperlink>
    </w:p>
    <w:p w14:paraId="5EE8FC72" w14:textId="18A022C5" w:rsidR="004E4427" w:rsidRDefault="00842AD4">
      <w:pPr>
        <w:pStyle w:val="TOC1"/>
        <w:rPr>
          <w:rFonts w:asciiTheme="minorHAnsi" w:eastAsiaTheme="minorEastAsia" w:hAnsiTheme="minorHAnsi"/>
          <w:b w:val="0"/>
          <w:color w:val="auto"/>
          <w:szCs w:val="22"/>
          <w:lang w:eastAsia="en-GB"/>
        </w:rPr>
      </w:pPr>
      <w:hyperlink w:anchor="_Toc43980019" w:history="1">
        <w:r w:rsidR="004E4427" w:rsidRPr="00E1771D">
          <w:rPr>
            <w:rStyle w:val="Hyperlink"/>
          </w:rPr>
          <w:t>Case study 1: PILOT, Firefly Arts</w:t>
        </w:r>
        <w:r w:rsidR="004E4427">
          <w:rPr>
            <w:webHidden/>
          </w:rPr>
          <w:tab/>
        </w:r>
        <w:r w:rsidR="004E4427">
          <w:rPr>
            <w:webHidden/>
          </w:rPr>
          <w:fldChar w:fldCharType="begin"/>
        </w:r>
        <w:r w:rsidR="004E4427">
          <w:rPr>
            <w:webHidden/>
          </w:rPr>
          <w:instrText xml:space="preserve"> PAGEREF _Toc43980019 \h </w:instrText>
        </w:r>
        <w:r w:rsidR="004E4427">
          <w:rPr>
            <w:webHidden/>
          </w:rPr>
        </w:r>
        <w:r w:rsidR="004E4427">
          <w:rPr>
            <w:webHidden/>
          </w:rPr>
          <w:fldChar w:fldCharType="separate"/>
        </w:r>
        <w:r w:rsidR="004E4427">
          <w:rPr>
            <w:webHidden/>
          </w:rPr>
          <w:t>19</w:t>
        </w:r>
        <w:r w:rsidR="004E4427">
          <w:rPr>
            <w:webHidden/>
          </w:rPr>
          <w:fldChar w:fldCharType="end"/>
        </w:r>
      </w:hyperlink>
    </w:p>
    <w:p w14:paraId="2B2988F7" w14:textId="5B76C071" w:rsidR="004E4427" w:rsidRDefault="00842AD4">
      <w:pPr>
        <w:pStyle w:val="TOC1"/>
        <w:rPr>
          <w:rFonts w:asciiTheme="minorHAnsi" w:eastAsiaTheme="minorEastAsia" w:hAnsiTheme="minorHAnsi"/>
          <w:b w:val="0"/>
          <w:color w:val="auto"/>
          <w:szCs w:val="22"/>
          <w:lang w:eastAsia="en-GB"/>
        </w:rPr>
      </w:pPr>
      <w:hyperlink w:anchor="_Toc43980020" w:history="1">
        <w:r w:rsidR="004E4427" w:rsidRPr="00E1771D">
          <w:rPr>
            <w:rStyle w:val="Hyperlink"/>
          </w:rPr>
          <w:t>5. Developing physical and personal skills</w:t>
        </w:r>
        <w:r w:rsidR="004E4427">
          <w:rPr>
            <w:webHidden/>
          </w:rPr>
          <w:tab/>
        </w:r>
        <w:r w:rsidR="004E4427">
          <w:rPr>
            <w:webHidden/>
          </w:rPr>
          <w:fldChar w:fldCharType="begin"/>
        </w:r>
        <w:r w:rsidR="004E4427">
          <w:rPr>
            <w:webHidden/>
          </w:rPr>
          <w:instrText xml:space="preserve"> PAGEREF _Toc43980020 \h </w:instrText>
        </w:r>
        <w:r w:rsidR="004E4427">
          <w:rPr>
            <w:webHidden/>
          </w:rPr>
        </w:r>
        <w:r w:rsidR="004E4427">
          <w:rPr>
            <w:webHidden/>
          </w:rPr>
          <w:fldChar w:fldCharType="separate"/>
        </w:r>
        <w:r w:rsidR="004E4427">
          <w:rPr>
            <w:webHidden/>
          </w:rPr>
          <w:t>21</w:t>
        </w:r>
        <w:r w:rsidR="004E4427">
          <w:rPr>
            <w:webHidden/>
          </w:rPr>
          <w:fldChar w:fldCharType="end"/>
        </w:r>
      </w:hyperlink>
    </w:p>
    <w:p w14:paraId="7378469E" w14:textId="0345445C" w:rsidR="004E4427" w:rsidRDefault="00842AD4">
      <w:pPr>
        <w:pStyle w:val="TOC1"/>
        <w:rPr>
          <w:rFonts w:asciiTheme="minorHAnsi" w:eastAsiaTheme="minorEastAsia" w:hAnsiTheme="minorHAnsi"/>
          <w:b w:val="0"/>
          <w:color w:val="auto"/>
          <w:szCs w:val="22"/>
          <w:lang w:eastAsia="en-GB"/>
        </w:rPr>
      </w:pPr>
      <w:hyperlink w:anchor="_Toc43980021" w:history="1">
        <w:r w:rsidR="004E4427" w:rsidRPr="00E1771D">
          <w:rPr>
            <w:rStyle w:val="Hyperlink"/>
          </w:rPr>
          <w:t>Case study 2: Stretch, Hot Chocolate</w:t>
        </w:r>
        <w:r w:rsidR="004E4427">
          <w:rPr>
            <w:webHidden/>
          </w:rPr>
          <w:tab/>
        </w:r>
        <w:r w:rsidR="004E4427">
          <w:rPr>
            <w:webHidden/>
          </w:rPr>
          <w:fldChar w:fldCharType="begin"/>
        </w:r>
        <w:r w:rsidR="004E4427">
          <w:rPr>
            <w:webHidden/>
          </w:rPr>
          <w:instrText xml:space="preserve"> PAGEREF _Toc43980021 \h </w:instrText>
        </w:r>
        <w:r w:rsidR="004E4427">
          <w:rPr>
            <w:webHidden/>
          </w:rPr>
        </w:r>
        <w:r w:rsidR="004E4427">
          <w:rPr>
            <w:webHidden/>
          </w:rPr>
          <w:fldChar w:fldCharType="separate"/>
        </w:r>
        <w:r w:rsidR="004E4427">
          <w:rPr>
            <w:webHidden/>
          </w:rPr>
          <w:t>23</w:t>
        </w:r>
        <w:r w:rsidR="004E4427">
          <w:rPr>
            <w:webHidden/>
          </w:rPr>
          <w:fldChar w:fldCharType="end"/>
        </w:r>
      </w:hyperlink>
    </w:p>
    <w:p w14:paraId="683A01E6" w14:textId="100DFEB8" w:rsidR="004E4427" w:rsidRDefault="00842AD4">
      <w:pPr>
        <w:pStyle w:val="TOC1"/>
        <w:rPr>
          <w:rFonts w:asciiTheme="minorHAnsi" w:eastAsiaTheme="minorEastAsia" w:hAnsiTheme="minorHAnsi"/>
          <w:b w:val="0"/>
          <w:color w:val="auto"/>
          <w:szCs w:val="22"/>
          <w:lang w:eastAsia="en-GB"/>
        </w:rPr>
      </w:pPr>
      <w:hyperlink w:anchor="_Toc43980022" w:history="1">
        <w:r w:rsidR="004E4427" w:rsidRPr="00E1771D">
          <w:rPr>
            <w:rStyle w:val="Hyperlink"/>
          </w:rPr>
          <w:t>6. Having a positive change on behaviour and aspiration</w:t>
        </w:r>
        <w:r w:rsidR="004E4427">
          <w:rPr>
            <w:webHidden/>
          </w:rPr>
          <w:tab/>
        </w:r>
        <w:r w:rsidR="004E4427">
          <w:rPr>
            <w:webHidden/>
          </w:rPr>
          <w:fldChar w:fldCharType="begin"/>
        </w:r>
        <w:r w:rsidR="004E4427">
          <w:rPr>
            <w:webHidden/>
          </w:rPr>
          <w:instrText xml:space="preserve"> PAGEREF _Toc43980022 \h </w:instrText>
        </w:r>
        <w:r w:rsidR="004E4427">
          <w:rPr>
            <w:webHidden/>
          </w:rPr>
        </w:r>
        <w:r w:rsidR="004E4427">
          <w:rPr>
            <w:webHidden/>
          </w:rPr>
          <w:fldChar w:fldCharType="separate"/>
        </w:r>
        <w:r w:rsidR="004E4427">
          <w:rPr>
            <w:webHidden/>
          </w:rPr>
          <w:t>25</w:t>
        </w:r>
        <w:r w:rsidR="004E4427">
          <w:rPr>
            <w:webHidden/>
          </w:rPr>
          <w:fldChar w:fldCharType="end"/>
        </w:r>
      </w:hyperlink>
    </w:p>
    <w:p w14:paraId="1467C0FB" w14:textId="0C61107E" w:rsidR="004E4427" w:rsidRDefault="00842AD4">
      <w:pPr>
        <w:pStyle w:val="TOC1"/>
        <w:rPr>
          <w:rFonts w:asciiTheme="minorHAnsi" w:eastAsiaTheme="minorEastAsia" w:hAnsiTheme="minorHAnsi"/>
          <w:b w:val="0"/>
          <w:color w:val="auto"/>
          <w:szCs w:val="22"/>
          <w:lang w:eastAsia="en-GB"/>
        </w:rPr>
      </w:pPr>
      <w:hyperlink w:anchor="_Toc43980023" w:history="1">
        <w:r w:rsidR="004E4427" w:rsidRPr="00E1771D">
          <w:rPr>
            <w:rStyle w:val="Hyperlink"/>
          </w:rPr>
          <w:t>Case Study 3: Macrobert-In, Macrobert Arts Centre</w:t>
        </w:r>
        <w:r w:rsidR="004E4427">
          <w:rPr>
            <w:webHidden/>
          </w:rPr>
          <w:tab/>
        </w:r>
        <w:r w:rsidR="004E4427">
          <w:rPr>
            <w:webHidden/>
          </w:rPr>
          <w:fldChar w:fldCharType="begin"/>
        </w:r>
        <w:r w:rsidR="004E4427">
          <w:rPr>
            <w:webHidden/>
          </w:rPr>
          <w:instrText xml:space="preserve"> PAGEREF _Toc43980023 \h </w:instrText>
        </w:r>
        <w:r w:rsidR="004E4427">
          <w:rPr>
            <w:webHidden/>
          </w:rPr>
        </w:r>
        <w:r w:rsidR="004E4427">
          <w:rPr>
            <w:webHidden/>
          </w:rPr>
          <w:fldChar w:fldCharType="separate"/>
        </w:r>
        <w:r w:rsidR="004E4427">
          <w:rPr>
            <w:webHidden/>
          </w:rPr>
          <w:t>28</w:t>
        </w:r>
        <w:r w:rsidR="004E4427">
          <w:rPr>
            <w:webHidden/>
          </w:rPr>
          <w:fldChar w:fldCharType="end"/>
        </w:r>
      </w:hyperlink>
    </w:p>
    <w:p w14:paraId="6B630A4A" w14:textId="4423FF77" w:rsidR="004E4427" w:rsidRDefault="00842AD4">
      <w:pPr>
        <w:pStyle w:val="TOC1"/>
        <w:rPr>
          <w:rFonts w:asciiTheme="minorHAnsi" w:eastAsiaTheme="minorEastAsia" w:hAnsiTheme="minorHAnsi"/>
          <w:b w:val="0"/>
          <w:color w:val="auto"/>
          <w:szCs w:val="22"/>
          <w:lang w:eastAsia="en-GB"/>
        </w:rPr>
      </w:pPr>
      <w:hyperlink w:anchor="_Toc43980024" w:history="1">
        <w:r w:rsidR="004E4427" w:rsidRPr="00E1771D">
          <w:rPr>
            <w:rStyle w:val="Hyperlink"/>
          </w:rPr>
          <w:t>7. Improving wellbeing</w:t>
        </w:r>
        <w:r w:rsidR="004E4427">
          <w:rPr>
            <w:webHidden/>
          </w:rPr>
          <w:tab/>
        </w:r>
        <w:r w:rsidR="004E4427">
          <w:rPr>
            <w:webHidden/>
          </w:rPr>
          <w:fldChar w:fldCharType="begin"/>
        </w:r>
        <w:r w:rsidR="004E4427">
          <w:rPr>
            <w:webHidden/>
          </w:rPr>
          <w:instrText xml:space="preserve"> PAGEREF _Toc43980024 \h </w:instrText>
        </w:r>
        <w:r w:rsidR="004E4427">
          <w:rPr>
            <w:webHidden/>
          </w:rPr>
        </w:r>
        <w:r w:rsidR="004E4427">
          <w:rPr>
            <w:webHidden/>
          </w:rPr>
          <w:fldChar w:fldCharType="separate"/>
        </w:r>
        <w:r w:rsidR="004E4427">
          <w:rPr>
            <w:webHidden/>
          </w:rPr>
          <w:t>30</w:t>
        </w:r>
        <w:r w:rsidR="004E4427">
          <w:rPr>
            <w:webHidden/>
          </w:rPr>
          <w:fldChar w:fldCharType="end"/>
        </w:r>
      </w:hyperlink>
    </w:p>
    <w:p w14:paraId="518EA00F" w14:textId="02954BD8" w:rsidR="004E4427" w:rsidRDefault="00842AD4">
      <w:pPr>
        <w:pStyle w:val="TOC1"/>
        <w:rPr>
          <w:rFonts w:asciiTheme="minorHAnsi" w:eastAsiaTheme="minorEastAsia" w:hAnsiTheme="minorHAnsi"/>
          <w:b w:val="0"/>
          <w:color w:val="auto"/>
          <w:szCs w:val="22"/>
          <w:lang w:eastAsia="en-GB"/>
        </w:rPr>
      </w:pPr>
      <w:hyperlink w:anchor="_Toc43980025" w:history="1">
        <w:r w:rsidR="004E4427" w:rsidRPr="00E1771D">
          <w:rPr>
            <w:rStyle w:val="Hyperlink"/>
          </w:rPr>
          <w:t>8. Improving learning, employability and employment options (positive destinations) [Targeted Fund only]</w:t>
        </w:r>
        <w:r w:rsidR="004E4427">
          <w:rPr>
            <w:webHidden/>
          </w:rPr>
          <w:tab/>
        </w:r>
        <w:r w:rsidR="004E4427">
          <w:rPr>
            <w:webHidden/>
          </w:rPr>
          <w:fldChar w:fldCharType="begin"/>
        </w:r>
        <w:r w:rsidR="004E4427">
          <w:rPr>
            <w:webHidden/>
          </w:rPr>
          <w:instrText xml:space="preserve"> PAGEREF _Toc43980025 \h </w:instrText>
        </w:r>
        <w:r w:rsidR="004E4427">
          <w:rPr>
            <w:webHidden/>
          </w:rPr>
        </w:r>
        <w:r w:rsidR="004E4427">
          <w:rPr>
            <w:webHidden/>
          </w:rPr>
          <w:fldChar w:fldCharType="separate"/>
        </w:r>
        <w:r w:rsidR="004E4427">
          <w:rPr>
            <w:webHidden/>
          </w:rPr>
          <w:t>33</w:t>
        </w:r>
        <w:r w:rsidR="004E4427">
          <w:rPr>
            <w:webHidden/>
          </w:rPr>
          <w:fldChar w:fldCharType="end"/>
        </w:r>
      </w:hyperlink>
    </w:p>
    <w:p w14:paraId="679F3DEF" w14:textId="0CF3A6C5" w:rsidR="004E4427" w:rsidRDefault="00842AD4">
      <w:pPr>
        <w:pStyle w:val="TOC1"/>
        <w:rPr>
          <w:rFonts w:asciiTheme="minorHAnsi" w:eastAsiaTheme="minorEastAsia" w:hAnsiTheme="minorHAnsi"/>
          <w:b w:val="0"/>
          <w:color w:val="auto"/>
          <w:szCs w:val="22"/>
          <w:lang w:eastAsia="en-GB"/>
        </w:rPr>
      </w:pPr>
      <w:hyperlink w:anchor="_Toc43980026" w:history="1">
        <w:r w:rsidR="004E4427" w:rsidRPr="00E1771D">
          <w:rPr>
            <w:rStyle w:val="Hyperlink"/>
          </w:rPr>
          <w:t>9. Participating in positive activity</w:t>
        </w:r>
        <w:r w:rsidR="004E4427">
          <w:rPr>
            <w:webHidden/>
          </w:rPr>
          <w:tab/>
        </w:r>
        <w:r w:rsidR="004E4427">
          <w:rPr>
            <w:webHidden/>
          </w:rPr>
          <w:fldChar w:fldCharType="begin"/>
        </w:r>
        <w:r w:rsidR="004E4427">
          <w:rPr>
            <w:webHidden/>
          </w:rPr>
          <w:instrText xml:space="preserve"> PAGEREF _Toc43980026 \h </w:instrText>
        </w:r>
        <w:r w:rsidR="004E4427">
          <w:rPr>
            <w:webHidden/>
          </w:rPr>
        </w:r>
        <w:r w:rsidR="004E4427">
          <w:rPr>
            <w:webHidden/>
          </w:rPr>
          <w:fldChar w:fldCharType="separate"/>
        </w:r>
        <w:r w:rsidR="004E4427">
          <w:rPr>
            <w:webHidden/>
          </w:rPr>
          <w:t>37</w:t>
        </w:r>
        <w:r w:rsidR="004E4427">
          <w:rPr>
            <w:webHidden/>
          </w:rPr>
          <w:fldChar w:fldCharType="end"/>
        </w:r>
      </w:hyperlink>
    </w:p>
    <w:p w14:paraId="6317D589" w14:textId="7854CC35" w:rsidR="004E4427" w:rsidRDefault="00842AD4">
      <w:pPr>
        <w:pStyle w:val="TOC1"/>
        <w:rPr>
          <w:rFonts w:asciiTheme="minorHAnsi" w:eastAsiaTheme="minorEastAsia" w:hAnsiTheme="minorHAnsi"/>
          <w:b w:val="0"/>
          <w:color w:val="auto"/>
          <w:szCs w:val="22"/>
          <w:lang w:eastAsia="en-GB"/>
        </w:rPr>
      </w:pPr>
      <w:hyperlink w:anchor="_Toc43980027" w:history="1">
        <w:r w:rsidR="004E4427" w:rsidRPr="00E1771D">
          <w:rPr>
            <w:rStyle w:val="Hyperlink"/>
          </w:rPr>
          <w:t>10. Key project learning</w:t>
        </w:r>
        <w:r w:rsidR="004E4427">
          <w:rPr>
            <w:webHidden/>
          </w:rPr>
          <w:tab/>
        </w:r>
        <w:r w:rsidR="004E4427">
          <w:rPr>
            <w:webHidden/>
          </w:rPr>
          <w:fldChar w:fldCharType="begin"/>
        </w:r>
        <w:r w:rsidR="004E4427">
          <w:rPr>
            <w:webHidden/>
          </w:rPr>
          <w:instrText xml:space="preserve"> PAGEREF _Toc43980027 \h </w:instrText>
        </w:r>
        <w:r w:rsidR="004E4427">
          <w:rPr>
            <w:webHidden/>
          </w:rPr>
        </w:r>
        <w:r w:rsidR="004E4427">
          <w:rPr>
            <w:webHidden/>
          </w:rPr>
          <w:fldChar w:fldCharType="separate"/>
        </w:r>
        <w:r w:rsidR="004E4427">
          <w:rPr>
            <w:webHidden/>
          </w:rPr>
          <w:t>39</w:t>
        </w:r>
        <w:r w:rsidR="004E4427">
          <w:rPr>
            <w:webHidden/>
          </w:rPr>
          <w:fldChar w:fldCharType="end"/>
        </w:r>
      </w:hyperlink>
    </w:p>
    <w:p w14:paraId="2467CF33" w14:textId="1B77715A" w:rsidR="004E4427" w:rsidRDefault="00842AD4">
      <w:pPr>
        <w:pStyle w:val="TOC1"/>
        <w:rPr>
          <w:rFonts w:asciiTheme="minorHAnsi" w:eastAsiaTheme="minorEastAsia" w:hAnsiTheme="minorHAnsi"/>
          <w:b w:val="0"/>
          <w:color w:val="auto"/>
          <w:szCs w:val="22"/>
          <w:lang w:eastAsia="en-GB"/>
        </w:rPr>
      </w:pPr>
      <w:hyperlink w:anchor="_Toc43980028" w:history="1">
        <w:r w:rsidR="004E4427" w:rsidRPr="00E1771D">
          <w:rPr>
            <w:rStyle w:val="Hyperlink"/>
          </w:rPr>
          <w:t>Appendices</w:t>
        </w:r>
        <w:r w:rsidR="004E4427">
          <w:rPr>
            <w:webHidden/>
          </w:rPr>
          <w:tab/>
        </w:r>
        <w:r w:rsidR="004E4427">
          <w:rPr>
            <w:webHidden/>
          </w:rPr>
          <w:fldChar w:fldCharType="begin"/>
        </w:r>
        <w:r w:rsidR="004E4427">
          <w:rPr>
            <w:webHidden/>
          </w:rPr>
          <w:instrText xml:space="preserve"> PAGEREF _Toc43980028 \h </w:instrText>
        </w:r>
        <w:r w:rsidR="004E4427">
          <w:rPr>
            <w:webHidden/>
          </w:rPr>
        </w:r>
        <w:r w:rsidR="004E4427">
          <w:rPr>
            <w:webHidden/>
          </w:rPr>
          <w:fldChar w:fldCharType="separate"/>
        </w:r>
        <w:r w:rsidR="004E4427">
          <w:rPr>
            <w:webHidden/>
          </w:rPr>
          <w:t>41</w:t>
        </w:r>
        <w:r w:rsidR="004E4427">
          <w:rPr>
            <w:webHidden/>
          </w:rPr>
          <w:fldChar w:fldCharType="end"/>
        </w:r>
      </w:hyperlink>
    </w:p>
    <w:p w14:paraId="6C62D613" w14:textId="08355A1B" w:rsidR="00B06D19" w:rsidRPr="00631C1B" w:rsidRDefault="00A673B1" w:rsidP="00B45E40">
      <w:pPr>
        <w:pStyle w:val="Subheadingnonumber"/>
        <w:spacing w:after="120"/>
      </w:pPr>
      <w:r w:rsidRPr="00631C1B">
        <w:fldChar w:fldCharType="end"/>
      </w:r>
      <w:r w:rsidR="00B45E40" w:rsidRPr="00631C1B">
        <w:rPr>
          <w:b w:val="0"/>
          <w:sz w:val="22"/>
        </w:rPr>
        <w:t>L</w:t>
      </w:r>
      <w:r w:rsidR="00C419D8" w:rsidRPr="00631C1B">
        <w:rPr>
          <w:sz w:val="22"/>
        </w:rPr>
        <w:t>ist of Figures</w:t>
      </w:r>
    </w:p>
    <w:p w14:paraId="61EABDB4" w14:textId="555DDF77" w:rsidR="00B22D39" w:rsidRDefault="00C419D8">
      <w:pPr>
        <w:pStyle w:val="TableofFigures"/>
        <w:tabs>
          <w:tab w:val="right" w:leader="dot" w:pos="7091"/>
        </w:tabs>
        <w:rPr>
          <w:rFonts w:asciiTheme="minorHAnsi" w:eastAsiaTheme="minorEastAsia" w:hAnsiTheme="minorHAnsi"/>
          <w:noProof/>
          <w:sz w:val="22"/>
          <w:szCs w:val="22"/>
          <w:lang w:eastAsia="en-GB"/>
        </w:rPr>
      </w:pPr>
      <w:r w:rsidRPr="00631C1B">
        <w:rPr>
          <w:rFonts w:eastAsiaTheme="majorEastAsia" w:cstheme="majorBidi"/>
          <w:spacing w:val="5"/>
          <w:kern w:val="28"/>
          <w:sz w:val="28"/>
          <w:szCs w:val="52"/>
        </w:rPr>
        <w:fldChar w:fldCharType="begin"/>
      </w:r>
      <w:r w:rsidRPr="00631C1B">
        <w:rPr>
          <w:sz w:val="28"/>
        </w:rPr>
        <w:instrText xml:space="preserve"> TOC \h \z \c "Figure" </w:instrText>
      </w:r>
      <w:r w:rsidRPr="00631C1B">
        <w:rPr>
          <w:rFonts w:eastAsiaTheme="majorEastAsia" w:cstheme="majorBidi"/>
          <w:spacing w:val="5"/>
          <w:kern w:val="28"/>
          <w:sz w:val="28"/>
          <w:szCs w:val="52"/>
        </w:rPr>
        <w:fldChar w:fldCharType="separate"/>
      </w:r>
      <w:hyperlink w:anchor="_Toc42266736" w:history="1">
        <w:r w:rsidR="00B22D39" w:rsidRPr="00274E26">
          <w:rPr>
            <w:rStyle w:val="Hyperlink"/>
            <w:noProof/>
          </w:rPr>
          <w:t>Figure 1  Total programme participant numbers – Year 3</w:t>
        </w:r>
        <w:r w:rsidR="00B22D39">
          <w:rPr>
            <w:noProof/>
            <w:webHidden/>
          </w:rPr>
          <w:tab/>
        </w:r>
        <w:r w:rsidR="00B22D39">
          <w:rPr>
            <w:noProof/>
            <w:webHidden/>
          </w:rPr>
          <w:fldChar w:fldCharType="begin"/>
        </w:r>
        <w:r w:rsidR="00B22D39">
          <w:rPr>
            <w:noProof/>
            <w:webHidden/>
          </w:rPr>
          <w:instrText xml:space="preserve"> PAGEREF _Toc42266736 \h </w:instrText>
        </w:r>
        <w:r w:rsidR="00B22D39">
          <w:rPr>
            <w:noProof/>
            <w:webHidden/>
          </w:rPr>
        </w:r>
        <w:r w:rsidR="00B22D39">
          <w:rPr>
            <w:noProof/>
            <w:webHidden/>
          </w:rPr>
          <w:fldChar w:fldCharType="separate"/>
        </w:r>
        <w:r w:rsidR="004E4427">
          <w:rPr>
            <w:noProof/>
            <w:webHidden/>
          </w:rPr>
          <w:t>9</w:t>
        </w:r>
        <w:r w:rsidR="00B22D39">
          <w:rPr>
            <w:noProof/>
            <w:webHidden/>
          </w:rPr>
          <w:fldChar w:fldCharType="end"/>
        </w:r>
      </w:hyperlink>
    </w:p>
    <w:p w14:paraId="057C89A5" w14:textId="20613D1E"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37" w:history="1">
        <w:r w:rsidR="00B22D39" w:rsidRPr="00274E26">
          <w:rPr>
            <w:rStyle w:val="Hyperlink"/>
            <w:noProof/>
          </w:rPr>
          <w:t>Figure 2  Total programme participant numbers – All years</w:t>
        </w:r>
        <w:r w:rsidR="00B22D39">
          <w:rPr>
            <w:noProof/>
            <w:webHidden/>
          </w:rPr>
          <w:tab/>
        </w:r>
        <w:r w:rsidR="00B22D39">
          <w:rPr>
            <w:noProof/>
            <w:webHidden/>
          </w:rPr>
          <w:fldChar w:fldCharType="begin"/>
        </w:r>
        <w:r w:rsidR="00B22D39">
          <w:rPr>
            <w:noProof/>
            <w:webHidden/>
          </w:rPr>
          <w:instrText xml:space="preserve"> PAGEREF _Toc42266737 \h </w:instrText>
        </w:r>
        <w:r w:rsidR="00B22D39">
          <w:rPr>
            <w:noProof/>
            <w:webHidden/>
          </w:rPr>
        </w:r>
        <w:r w:rsidR="00B22D39">
          <w:rPr>
            <w:noProof/>
            <w:webHidden/>
          </w:rPr>
          <w:fldChar w:fldCharType="separate"/>
        </w:r>
        <w:r w:rsidR="004E4427">
          <w:rPr>
            <w:noProof/>
            <w:webHidden/>
          </w:rPr>
          <w:t>10</w:t>
        </w:r>
        <w:r w:rsidR="00B22D39">
          <w:rPr>
            <w:noProof/>
            <w:webHidden/>
          </w:rPr>
          <w:fldChar w:fldCharType="end"/>
        </w:r>
      </w:hyperlink>
    </w:p>
    <w:p w14:paraId="15B93DF6" w14:textId="3F85C4C3"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38" w:history="1">
        <w:r w:rsidR="00B22D39" w:rsidRPr="00274E26">
          <w:rPr>
            <w:rStyle w:val="Hyperlink"/>
            <w:noProof/>
          </w:rPr>
          <w:t>Figure 3  Gender breakdown – Year 3</w:t>
        </w:r>
        <w:r w:rsidR="00B22D39">
          <w:rPr>
            <w:noProof/>
            <w:webHidden/>
          </w:rPr>
          <w:tab/>
        </w:r>
        <w:r w:rsidR="00B22D39">
          <w:rPr>
            <w:noProof/>
            <w:webHidden/>
          </w:rPr>
          <w:fldChar w:fldCharType="begin"/>
        </w:r>
        <w:r w:rsidR="00B22D39">
          <w:rPr>
            <w:noProof/>
            <w:webHidden/>
          </w:rPr>
          <w:instrText xml:space="preserve"> PAGEREF _Toc42266738 \h </w:instrText>
        </w:r>
        <w:r w:rsidR="00B22D39">
          <w:rPr>
            <w:noProof/>
            <w:webHidden/>
          </w:rPr>
        </w:r>
        <w:r w:rsidR="00B22D39">
          <w:rPr>
            <w:noProof/>
            <w:webHidden/>
          </w:rPr>
          <w:fldChar w:fldCharType="separate"/>
        </w:r>
        <w:r w:rsidR="004E4427">
          <w:rPr>
            <w:noProof/>
            <w:webHidden/>
          </w:rPr>
          <w:t>10</w:t>
        </w:r>
        <w:r w:rsidR="00B22D39">
          <w:rPr>
            <w:noProof/>
            <w:webHidden/>
          </w:rPr>
          <w:fldChar w:fldCharType="end"/>
        </w:r>
      </w:hyperlink>
    </w:p>
    <w:p w14:paraId="7E8AB0A0" w14:textId="13310BF3"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39" w:history="1">
        <w:r w:rsidR="00B22D39" w:rsidRPr="00274E26">
          <w:rPr>
            <w:rStyle w:val="Hyperlink"/>
            <w:noProof/>
          </w:rPr>
          <w:t>Figure 4  Gender breakdown – All years</w:t>
        </w:r>
        <w:r w:rsidR="00B22D39">
          <w:rPr>
            <w:noProof/>
            <w:webHidden/>
          </w:rPr>
          <w:tab/>
        </w:r>
        <w:r w:rsidR="00B22D39">
          <w:rPr>
            <w:noProof/>
            <w:webHidden/>
          </w:rPr>
          <w:fldChar w:fldCharType="begin"/>
        </w:r>
        <w:r w:rsidR="00B22D39">
          <w:rPr>
            <w:noProof/>
            <w:webHidden/>
          </w:rPr>
          <w:instrText xml:space="preserve"> PAGEREF _Toc42266739 \h </w:instrText>
        </w:r>
        <w:r w:rsidR="00B22D39">
          <w:rPr>
            <w:noProof/>
            <w:webHidden/>
          </w:rPr>
        </w:r>
        <w:r w:rsidR="00B22D39">
          <w:rPr>
            <w:noProof/>
            <w:webHidden/>
          </w:rPr>
          <w:fldChar w:fldCharType="separate"/>
        </w:r>
        <w:r w:rsidR="004E4427">
          <w:rPr>
            <w:noProof/>
            <w:webHidden/>
          </w:rPr>
          <w:t>10</w:t>
        </w:r>
        <w:r w:rsidR="00B22D39">
          <w:rPr>
            <w:noProof/>
            <w:webHidden/>
          </w:rPr>
          <w:fldChar w:fldCharType="end"/>
        </w:r>
      </w:hyperlink>
    </w:p>
    <w:p w14:paraId="29A6D50D" w14:textId="042B34A4"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0" w:history="1">
        <w:r w:rsidR="00B22D39" w:rsidRPr="00274E26">
          <w:rPr>
            <w:rStyle w:val="Hyperlink"/>
            <w:noProof/>
          </w:rPr>
          <w:t>Figure 5  SIMD breakdown (cumulative proportions) – Year 3</w:t>
        </w:r>
        <w:r w:rsidR="00B22D39">
          <w:rPr>
            <w:noProof/>
            <w:webHidden/>
          </w:rPr>
          <w:tab/>
        </w:r>
        <w:r w:rsidR="00B22D39">
          <w:rPr>
            <w:noProof/>
            <w:webHidden/>
          </w:rPr>
          <w:fldChar w:fldCharType="begin"/>
        </w:r>
        <w:r w:rsidR="00B22D39">
          <w:rPr>
            <w:noProof/>
            <w:webHidden/>
          </w:rPr>
          <w:instrText xml:space="preserve"> PAGEREF _Toc42266740 \h </w:instrText>
        </w:r>
        <w:r w:rsidR="00B22D39">
          <w:rPr>
            <w:noProof/>
            <w:webHidden/>
          </w:rPr>
        </w:r>
        <w:r w:rsidR="00B22D39">
          <w:rPr>
            <w:noProof/>
            <w:webHidden/>
          </w:rPr>
          <w:fldChar w:fldCharType="separate"/>
        </w:r>
        <w:r w:rsidR="004E4427">
          <w:rPr>
            <w:noProof/>
            <w:webHidden/>
          </w:rPr>
          <w:t>11</w:t>
        </w:r>
        <w:r w:rsidR="00B22D39">
          <w:rPr>
            <w:noProof/>
            <w:webHidden/>
          </w:rPr>
          <w:fldChar w:fldCharType="end"/>
        </w:r>
      </w:hyperlink>
    </w:p>
    <w:p w14:paraId="00480EFF" w14:textId="017BF7E9"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1" w:history="1">
        <w:r w:rsidR="00B22D39" w:rsidRPr="00274E26">
          <w:rPr>
            <w:rStyle w:val="Hyperlink"/>
            <w:noProof/>
          </w:rPr>
          <w:t>Figure 6  SIMD breakdown (cumulative proportions) – All years</w:t>
        </w:r>
        <w:r w:rsidR="00B22D39">
          <w:rPr>
            <w:noProof/>
            <w:webHidden/>
          </w:rPr>
          <w:tab/>
        </w:r>
        <w:r w:rsidR="00B22D39">
          <w:rPr>
            <w:noProof/>
            <w:webHidden/>
          </w:rPr>
          <w:fldChar w:fldCharType="begin"/>
        </w:r>
        <w:r w:rsidR="00B22D39">
          <w:rPr>
            <w:noProof/>
            <w:webHidden/>
          </w:rPr>
          <w:instrText xml:space="preserve"> PAGEREF _Toc42266741 \h </w:instrText>
        </w:r>
        <w:r w:rsidR="00B22D39">
          <w:rPr>
            <w:noProof/>
            <w:webHidden/>
          </w:rPr>
        </w:r>
        <w:r w:rsidR="00B22D39">
          <w:rPr>
            <w:noProof/>
            <w:webHidden/>
          </w:rPr>
          <w:fldChar w:fldCharType="separate"/>
        </w:r>
        <w:r w:rsidR="004E4427">
          <w:rPr>
            <w:noProof/>
            <w:webHidden/>
          </w:rPr>
          <w:t>11</w:t>
        </w:r>
        <w:r w:rsidR="00B22D39">
          <w:rPr>
            <w:noProof/>
            <w:webHidden/>
          </w:rPr>
          <w:fldChar w:fldCharType="end"/>
        </w:r>
      </w:hyperlink>
    </w:p>
    <w:p w14:paraId="6773F3BF" w14:textId="7B8F4AE4"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2" w:history="1">
        <w:r w:rsidR="00B22D39" w:rsidRPr="00274E26">
          <w:rPr>
            <w:rStyle w:val="Hyperlink"/>
            <w:noProof/>
          </w:rPr>
          <w:t>Figure 7  Progress towards targets in building capacity and confidence - based on grant offer letter – Year 3</w:t>
        </w:r>
        <w:r w:rsidR="00B22D39">
          <w:rPr>
            <w:noProof/>
            <w:webHidden/>
          </w:rPr>
          <w:tab/>
        </w:r>
        <w:r w:rsidR="00B22D39">
          <w:rPr>
            <w:noProof/>
            <w:webHidden/>
          </w:rPr>
          <w:fldChar w:fldCharType="begin"/>
        </w:r>
        <w:r w:rsidR="00B22D39">
          <w:rPr>
            <w:noProof/>
            <w:webHidden/>
          </w:rPr>
          <w:instrText xml:space="preserve"> PAGEREF _Toc42266742 \h </w:instrText>
        </w:r>
        <w:r w:rsidR="00B22D39">
          <w:rPr>
            <w:noProof/>
            <w:webHidden/>
          </w:rPr>
        </w:r>
        <w:r w:rsidR="00B22D39">
          <w:rPr>
            <w:noProof/>
            <w:webHidden/>
          </w:rPr>
          <w:fldChar w:fldCharType="separate"/>
        </w:r>
        <w:r w:rsidR="004E4427">
          <w:rPr>
            <w:noProof/>
            <w:webHidden/>
          </w:rPr>
          <w:t>17</w:t>
        </w:r>
        <w:r w:rsidR="00B22D39">
          <w:rPr>
            <w:noProof/>
            <w:webHidden/>
          </w:rPr>
          <w:fldChar w:fldCharType="end"/>
        </w:r>
      </w:hyperlink>
    </w:p>
    <w:p w14:paraId="665ADF8C" w14:textId="38E5F7C1"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3" w:history="1">
        <w:r w:rsidR="00B22D39" w:rsidRPr="00274E26">
          <w:rPr>
            <w:rStyle w:val="Hyperlink"/>
            <w:noProof/>
          </w:rPr>
          <w:t>Figure 8  Progress towards targets in building capacity and confidence - based on grant offer letter – All years</w:t>
        </w:r>
        <w:r w:rsidR="00B22D39">
          <w:rPr>
            <w:noProof/>
            <w:webHidden/>
          </w:rPr>
          <w:tab/>
        </w:r>
        <w:r w:rsidR="00B22D39">
          <w:rPr>
            <w:noProof/>
            <w:webHidden/>
          </w:rPr>
          <w:fldChar w:fldCharType="begin"/>
        </w:r>
        <w:r w:rsidR="00B22D39">
          <w:rPr>
            <w:noProof/>
            <w:webHidden/>
          </w:rPr>
          <w:instrText xml:space="preserve"> PAGEREF _Toc42266743 \h </w:instrText>
        </w:r>
        <w:r w:rsidR="00B22D39">
          <w:rPr>
            <w:noProof/>
            <w:webHidden/>
          </w:rPr>
        </w:r>
        <w:r w:rsidR="00B22D39">
          <w:rPr>
            <w:noProof/>
            <w:webHidden/>
          </w:rPr>
          <w:fldChar w:fldCharType="separate"/>
        </w:r>
        <w:r w:rsidR="004E4427">
          <w:rPr>
            <w:noProof/>
            <w:webHidden/>
          </w:rPr>
          <w:t>18</w:t>
        </w:r>
        <w:r w:rsidR="00B22D39">
          <w:rPr>
            <w:noProof/>
            <w:webHidden/>
          </w:rPr>
          <w:fldChar w:fldCharType="end"/>
        </w:r>
      </w:hyperlink>
    </w:p>
    <w:p w14:paraId="473EDB12" w14:textId="24FAF9C4"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4" w:history="1">
        <w:r w:rsidR="00B22D39" w:rsidRPr="00274E26">
          <w:rPr>
            <w:rStyle w:val="Hyperlink"/>
            <w:noProof/>
          </w:rPr>
          <w:t>Figure 9  Progress towards targets in developing physical and personal skills – based on grant offer letter – Year 3</w:t>
        </w:r>
        <w:r w:rsidR="00B22D39">
          <w:rPr>
            <w:noProof/>
            <w:webHidden/>
          </w:rPr>
          <w:tab/>
        </w:r>
        <w:r w:rsidR="00B22D39">
          <w:rPr>
            <w:noProof/>
            <w:webHidden/>
          </w:rPr>
          <w:fldChar w:fldCharType="begin"/>
        </w:r>
        <w:r w:rsidR="00B22D39">
          <w:rPr>
            <w:noProof/>
            <w:webHidden/>
          </w:rPr>
          <w:instrText xml:space="preserve"> PAGEREF _Toc42266744 \h </w:instrText>
        </w:r>
        <w:r w:rsidR="00B22D39">
          <w:rPr>
            <w:noProof/>
            <w:webHidden/>
          </w:rPr>
        </w:r>
        <w:r w:rsidR="00B22D39">
          <w:rPr>
            <w:noProof/>
            <w:webHidden/>
          </w:rPr>
          <w:fldChar w:fldCharType="separate"/>
        </w:r>
        <w:r w:rsidR="004E4427">
          <w:rPr>
            <w:noProof/>
            <w:webHidden/>
          </w:rPr>
          <w:t>22</w:t>
        </w:r>
        <w:r w:rsidR="00B22D39">
          <w:rPr>
            <w:noProof/>
            <w:webHidden/>
          </w:rPr>
          <w:fldChar w:fldCharType="end"/>
        </w:r>
      </w:hyperlink>
    </w:p>
    <w:p w14:paraId="516719E1" w14:textId="05996406"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5" w:history="1">
        <w:r w:rsidR="00B22D39" w:rsidRPr="00274E26">
          <w:rPr>
            <w:rStyle w:val="Hyperlink"/>
            <w:noProof/>
          </w:rPr>
          <w:t>Figure 10  Progress towards targets in developing physical and personal skills – based on grant offer letter – All years</w:t>
        </w:r>
        <w:r w:rsidR="00B22D39">
          <w:rPr>
            <w:noProof/>
            <w:webHidden/>
          </w:rPr>
          <w:tab/>
        </w:r>
        <w:r w:rsidR="00B22D39">
          <w:rPr>
            <w:noProof/>
            <w:webHidden/>
          </w:rPr>
          <w:fldChar w:fldCharType="begin"/>
        </w:r>
        <w:r w:rsidR="00B22D39">
          <w:rPr>
            <w:noProof/>
            <w:webHidden/>
          </w:rPr>
          <w:instrText xml:space="preserve"> PAGEREF _Toc42266745 \h </w:instrText>
        </w:r>
        <w:r w:rsidR="00B22D39">
          <w:rPr>
            <w:noProof/>
            <w:webHidden/>
          </w:rPr>
        </w:r>
        <w:r w:rsidR="00B22D39">
          <w:rPr>
            <w:noProof/>
            <w:webHidden/>
          </w:rPr>
          <w:fldChar w:fldCharType="separate"/>
        </w:r>
        <w:r w:rsidR="004E4427">
          <w:rPr>
            <w:noProof/>
            <w:webHidden/>
          </w:rPr>
          <w:t>22</w:t>
        </w:r>
        <w:r w:rsidR="00B22D39">
          <w:rPr>
            <w:noProof/>
            <w:webHidden/>
          </w:rPr>
          <w:fldChar w:fldCharType="end"/>
        </w:r>
      </w:hyperlink>
    </w:p>
    <w:p w14:paraId="7B58AC7E" w14:textId="2BC0F84E"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6" w:history="1">
        <w:r w:rsidR="00B22D39" w:rsidRPr="00274E26">
          <w:rPr>
            <w:rStyle w:val="Hyperlink"/>
            <w:noProof/>
          </w:rPr>
          <w:t>Figure 11  Progress towards targets having positive change on behaviour and aspiration – based on grant offer letter – Year 3</w:t>
        </w:r>
        <w:r w:rsidR="00B22D39">
          <w:rPr>
            <w:noProof/>
            <w:webHidden/>
          </w:rPr>
          <w:tab/>
        </w:r>
        <w:r w:rsidR="00B22D39">
          <w:rPr>
            <w:noProof/>
            <w:webHidden/>
          </w:rPr>
          <w:fldChar w:fldCharType="begin"/>
        </w:r>
        <w:r w:rsidR="00B22D39">
          <w:rPr>
            <w:noProof/>
            <w:webHidden/>
          </w:rPr>
          <w:instrText xml:space="preserve"> PAGEREF _Toc42266746 \h </w:instrText>
        </w:r>
        <w:r w:rsidR="00B22D39">
          <w:rPr>
            <w:noProof/>
            <w:webHidden/>
          </w:rPr>
        </w:r>
        <w:r w:rsidR="00B22D39">
          <w:rPr>
            <w:noProof/>
            <w:webHidden/>
          </w:rPr>
          <w:fldChar w:fldCharType="separate"/>
        </w:r>
        <w:r w:rsidR="004E4427">
          <w:rPr>
            <w:noProof/>
            <w:webHidden/>
          </w:rPr>
          <w:t>26</w:t>
        </w:r>
        <w:r w:rsidR="00B22D39">
          <w:rPr>
            <w:noProof/>
            <w:webHidden/>
          </w:rPr>
          <w:fldChar w:fldCharType="end"/>
        </w:r>
      </w:hyperlink>
    </w:p>
    <w:p w14:paraId="13DE6339" w14:textId="5CEB82CF"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7" w:history="1">
        <w:r w:rsidR="00B22D39" w:rsidRPr="00274E26">
          <w:rPr>
            <w:rStyle w:val="Hyperlink"/>
            <w:noProof/>
          </w:rPr>
          <w:t>Figure 12  Progress towards targets having positive change on behaviour and aspiration – based on grant offer letter – All years</w:t>
        </w:r>
        <w:r w:rsidR="00B22D39">
          <w:rPr>
            <w:noProof/>
            <w:webHidden/>
          </w:rPr>
          <w:tab/>
        </w:r>
        <w:r w:rsidR="00B22D39">
          <w:rPr>
            <w:noProof/>
            <w:webHidden/>
          </w:rPr>
          <w:fldChar w:fldCharType="begin"/>
        </w:r>
        <w:r w:rsidR="00B22D39">
          <w:rPr>
            <w:noProof/>
            <w:webHidden/>
          </w:rPr>
          <w:instrText xml:space="preserve"> PAGEREF _Toc42266747 \h </w:instrText>
        </w:r>
        <w:r w:rsidR="00B22D39">
          <w:rPr>
            <w:noProof/>
            <w:webHidden/>
          </w:rPr>
        </w:r>
        <w:r w:rsidR="00B22D39">
          <w:rPr>
            <w:noProof/>
            <w:webHidden/>
          </w:rPr>
          <w:fldChar w:fldCharType="separate"/>
        </w:r>
        <w:r w:rsidR="004E4427">
          <w:rPr>
            <w:noProof/>
            <w:webHidden/>
          </w:rPr>
          <w:t>27</w:t>
        </w:r>
        <w:r w:rsidR="00B22D39">
          <w:rPr>
            <w:noProof/>
            <w:webHidden/>
          </w:rPr>
          <w:fldChar w:fldCharType="end"/>
        </w:r>
      </w:hyperlink>
    </w:p>
    <w:p w14:paraId="55914883" w14:textId="2F2B10BB"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8" w:history="1">
        <w:r w:rsidR="00B22D39" w:rsidRPr="00274E26">
          <w:rPr>
            <w:rStyle w:val="Hyperlink"/>
            <w:noProof/>
          </w:rPr>
          <w:t>Figure 13  Progress towards targets in improving participants’ wellbeing – based on grant offer letter – Year 3</w:t>
        </w:r>
        <w:r w:rsidR="00B22D39">
          <w:rPr>
            <w:noProof/>
            <w:webHidden/>
          </w:rPr>
          <w:tab/>
        </w:r>
        <w:r w:rsidR="00B22D39">
          <w:rPr>
            <w:noProof/>
            <w:webHidden/>
          </w:rPr>
          <w:fldChar w:fldCharType="begin"/>
        </w:r>
        <w:r w:rsidR="00B22D39">
          <w:rPr>
            <w:noProof/>
            <w:webHidden/>
          </w:rPr>
          <w:instrText xml:space="preserve"> PAGEREF _Toc42266748 \h </w:instrText>
        </w:r>
        <w:r w:rsidR="00B22D39">
          <w:rPr>
            <w:noProof/>
            <w:webHidden/>
          </w:rPr>
        </w:r>
        <w:r w:rsidR="00B22D39">
          <w:rPr>
            <w:noProof/>
            <w:webHidden/>
          </w:rPr>
          <w:fldChar w:fldCharType="separate"/>
        </w:r>
        <w:r w:rsidR="004E4427">
          <w:rPr>
            <w:noProof/>
            <w:webHidden/>
          </w:rPr>
          <w:t>31</w:t>
        </w:r>
        <w:r w:rsidR="00B22D39">
          <w:rPr>
            <w:noProof/>
            <w:webHidden/>
          </w:rPr>
          <w:fldChar w:fldCharType="end"/>
        </w:r>
      </w:hyperlink>
    </w:p>
    <w:p w14:paraId="4197BC61" w14:textId="6FC13546"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49" w:history="1">
        <w:r w:rsidR="00B22D39" w:rsidRPr="00274E26">
          <w:rPr>
            <w:rStyle w:val="Hyperlink"/>
            <w:noProof/>
          </w:rPr>
          <w:t>Figure 14  Progress towards targets in improving participants’ wellbeing – based on grant offer letter – All years</w:t>
        </w:r>
        <w:r w:rsidR="00B22D39">
          <w:rPr>
            <w:noProof/>
            <w:webHidden/>
          </w:rPr>
          <w:tab/>
        </w:r>
        <w:r w:rsidR="00B22D39">
          <w:rPr>
            <w:noProof/>
            <w:webHidden/>
          </w:rPr>
          <w:fldChar w:fldCharType="begin"/>
        </w:r>
        <w:r w:rsidR="00B22D39">
          <w:rPr>
            <w:noProof/>
            <w:webHidden/>
          </w:rPr>
          <w:instrText xml:space="preserve"> PAGEREF _Toc42266749 \h </w:instrText>
        </w:r>
        <w:r w:rsidR="00B22D39">
          <w:rPr>
            <w:noProof/>
            <w:webHidden/>
          </w:rPr>
        </w:r>
        <w:r w:rsidR="00B22D39">
          <w:rPr>
            <w:noProof/>
            <w:webHidden/>
          </w:rPr>
          <w:fldChar w:fldCharType="separate"/>
        </w:r>
        <w:r w:rsidR="004E4427">
          <w:rPr>
            <w:noProof/>
            <w:webHidden/>
          </w:rPr>
          <w:t>32</w:t>
        </w:r>
        <w:r w:rsidR="00B22D39">
          <w:rPr>
            <w:noProof/>
            <w:webHidden/>
          </w:rPr>
          <w:fldChar w:fldCharType="end"/>
        </w:r>
      </w:hyperlink>
    </w:p>
    <w:p w14:paraId="7522B990" w14:textId="2AB746A6"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50" w:history="1">
        <w:r w:rsidR="00B22D39" w:rsidRPr="00274E26">
          <w:rPr>
            <w:rStyle w:val="Hyperlink"/>
            <w:noProof/>
          </w:rPr>
          <w:t>Figure 15  Where Targeted Fund participants have progressed to after completion of the programme (positive destinations) - Year 3</w:t>
        </w:r>
        <w:r w:rsidR="00B22D39">
          <w:rPr>
            <w:noProof/>
            <w:webHidden/>
          </w:rPr>
          <w:tab/>
        </w:r>
        <w:r w:rsidR="00B22D39">
          <w:rPr>
            <w:noProof/>
            <w:webHidden/>
          </w:rPr>
          <w:fldChar w:fldCharType="begin"/>
        </w:r>
        <w:r w:rsidR="00B22D39">
          <w:rPr>
            <w:noProof/>
            <w:webHidden/>
          </w:rPr>
          <w:instrText xml:space="preserve"> PAGEREF _Toc42266750 \h </w:instrText>
        </w:r>
        <w:r w:rsidR="00B22D39">
          <w:rPr>
            <w:noProof/>
            <w:webHidden/>
          </w:rPr>
        </w:r>
        <w:r w:rsidR="00B22D39">
          <w:rPr>
            <w:noProof/>
            <w:webHidden/>
          </w:rPr>
          <w:fldChar w:fldCharType="separate"/>
        </w:r>
        <w:r w:rsidR="004E4427">
          <w:rPr>
            <w:noProof/>
            <w:webHidden/>
          </w:rPr>
          <w:t>35</w:t>
        </w:r>
        <w:r w:rsidR="00B22D39">
          <w:rPr>
            <w:noProof/>
            <w:webHidden/>
          </w:rPr>
          <w:fldChar w:fldCharType="end"/>
        </w:r>
      </w:hyperlink>
    </w:p>
    <w:p w14:paraId="5035D1D5" w14:textId="0FA0BB79"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51" w:history="1">
        <w:r w:rsidR="00B22D39" w:rsidRPr="00274E26">
          <w:rPr>
            <w:rStyle w:val="Hyperlink"/>
            <w:noProof/>
          </w:rPr>
          <w:t>Figure 16  Where Targeted Fund participants have progressed to after completion of the programme (positive destinations) – All years</w:t>
        </w:r>
        <w:r w:rsidR="00B22D39">
          <w:rPr>
            <w:noProof/>
            <w:webHidden/>
          </w:rPr>
          <w:tab/>
        </w:r>
        <w:r w:rsidR="00B22D39">
          <w:rPr>
            <w:noProof/>
            <w:webHidden/>
          </w:rPr>
          <w:fldChar w:fldCharType="begin"/>
        </w:r>
        <w:r w:rsidR="00B22D39">
          <w:rPr>
            <w:noProof/>
            <w:webHidden/>
          </w:rPr>
          <w:instrText xml:space="preserve"> PAGEREF _Toc42266751 \h </w:instrText>
        </w:r>
        <w:r w:rsidR="00B22D39">
          <w:rPr>
            <w:noProof/>
            <w:webHidden/>
          </w:rPr>
        </w:r>
        <w:r w:rsidR="00B22D39">
          <w:rPr>
            <w:noProof/>
            <w:webHidden/>
          </w:rPr>
          <w:fldChar w:fldCharType="separate"/>
        </w:r>
        <w:r w:rsidR="004E4427">
          <w:rPr>
            <w:noProof/>
            <w:webHidden/>
          </w:rPr>
          <w:t>36</w:t>
        </w:r>
        <w:r w:rsidR="00B22D39">
          <w:rPr>
            <w:noProof/>
            <w:webHidden/>
          </w:rPr>
          <w:fldChar w:fldCharType="end"/>
        </w:r>
      </w:hyperlink>
    </w:p>
    <w:p w14:paraId="3BBFB06C" w14:textId="7F8C40CC"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52" w:history="1">
        <w:r w:rsidR="00B22D39" w:rsidRPr="00274E26">
          <w:rPr>
            <w:rStyle w:val="Hyperlink"/>
            <w:noProof/>
          </w:rPr>
          <w:t>Figure 17  Progress towards targets in participants participating in positive activity – based on grant offer letter – Year 3</w:t>
        </w:r>
        <w:r w:rsidR="00B22D39">
          <w:rPr>
            <w:noProof/>
            <w:webHidden/>
          </w:rPr>
          <w:tab/>
        </w:r>
        <w:r w:rsidR="00B22D39">
          <w:rPr>
            <w:noProof/>
            <w:webHidden/>
          </w:rPr>
          <w:fldChar w:fldCharType="begin"/>
        </w:r>
        <w:r w:rsidR="00B22D39">
          <w:rPr>
            <w:noProof/>
            <w:webHidden/>
          </w:rPr>
          <w:instrText xml:space="preserve"> PAGEREF _Toc42266752 \h </w:instrText>
        </w:r>
        <w:r w:rsidR="00B22D39">
          <w:rPr>
            <w:noProof/>
            <w:webHidden/>
          </w:rPr>
        </w:r>
        <w:r w:rsidR="00B22D39">
          <w:rPr>
            <w:noProof/>
            <w:webHidden/>
          </w:rPr>
          <w:fldChar w:fldCharType="separate"/>
        </w:r>
        <w:r w:rsidR="004E4427">
          <w:rPr>
            <w:noProof/>
            <w:webHidden/>
          </w:rPr>
          <w:t>38</w:t>
        </w:r>
        <w:r w:rsidR="00B22D39">
          <w:rPr>
            <w:noProof/>
            <w:webHidden/>
          </w:rPr>
          <w:fldChar w:fldCharType="end"/>
        </w:r>
      </w:hyperlink>
    </w:p>
    <w:p w14:paraId="43DFE31F" w14:textId="522F611C"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53" w:history="1">
        <w:r w:rsidR="00B22D39" w:rsidRPr="00274E26">
          <w:rPr>
            <w:rStyle w:val="Hyperlink"/>
            <w:noProof/>
          </w:rPr>
          <w:t>Figure 18  Progress towards targets in participants participating in positive activity – based on grant offer letter – All years</w:t>
        </w:r>
        <w:r w:rsidR="00B22D39">
          <w:rPr>
            <w:noProof/>
            <w:webHidden/>
          </w:rPr>
          <w:tab/>
        </w:r>
        <w:r w:rsidR="00B22D39">
          <w:rPr>
            <w:noProof/>
            <w:webHidden/>
          </w:rPr>
          <w:fldChar w:fldCharType="begin"/>
        </w:r>
        <w:r w:rsidR="00B22D39">
          <w:rPr>
            <w:noProof/>
            <w:webHidden/>
          </w:rPr>
          <w:instrText xml:space="preserve"> PAGEREF _Toc42266753 \h </w:instrText>
        </w:r>
        <w:r w:rsidR="00B22D39">
          <w:rPr>
            <w:noProof/>
            <w:webHidden/>
          </w:rPr>
        </w:r>
        <w:r w:rsidR="00B22D39">
          <w:rPr>
            <w:noProof/>
            <w:webHidden/>
          </w:rPr>
          <w:fldChar w:fldCharType="separate"/>
        </w:r>
        <w:r w:rsidR="004E4427">
          <w:rPr>
            <w:noProof/>
            <w:webHidden/>
          </w:rPr>
          <w:t>38</w:t>
        </w:r>
        <w:r w:rsidR="00B22D39">
          <w:rPr>
            <w:noProof/>
            <w:webHidden/>
          </w:rPr>
          <w:fldChar w:fldCharType="end"/>
        </w:r>
      </w:hyperlink>
    </w:p>
    <w:p w14:paraId="7F18E577" w14:textId="312E6404"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54" w:history="1">
        <w:r w:rsidR="00B22D39" w:rsidRPr="00274E26">
          <w:rPr>
            <w:rStyle w:val="Hyperlink"/>
            <w:noProof/>
          </w:rPr>
          <w:t>Figure 19  CashBack for Creativity Open Fund Year 3 organisations - spend by organisation</w:t>
        </w:r>
        <w:r w:rsidR="00B22D39">
          <w:rPr>
            <w:noProof/>
            <w:webHidden/>
          </w:rPr>
          <w:tab/>
        </w:r>
        <w:r w:rsidR="00B22D39">
          <w:rPr>
            <w:noProof/>
            <w:webHidden/>
          </w:rPr>
          <w:fldChar w:fldCharType="begin"/>
        </w:r>
        <w:r w:rsidR="00B22D39">
          <w:rPr>
            <w:noProof/>
            <w:webHidden/>
          </w:rPr>
          <w:instrText xml:space="preserve"> PAGEREF _Toc42266754 \h </w:instrText>
        </w:r>
        <w:r w:rsidR="00B22D39">
          <w:rPr>
            <w:noProof/>
            <w:webHidden/>
          </w:rPr>
        </w:r>
        <w:r w:rsidR="00B22D39">
          <w:rPr>
            <w:noProof/>
            <w:webHidden/>
          </w:rPr>
          <w:fldChar w:fldCharType="separate"/>
        </w:r>
        <w:r w:rsidR="004E4427">
          <w:rPr>
            <w:noProof/>
            <w:webHidden/>
          </w:rPr>
          <w:t>41</w:t>
        </w:r>
        <w:r w:rsidR="00B22D39">
          <w:rPr>
            <w:noProof/>
            <w:webHidden/>
          </w:rPr>
          <w:fldChar w:fldCharType="end"/>
        </w:r>
      </w:hyperlink>
    </w:p>
    <w:p w14:paraId="7927F1D3" w14:textId="72CE009B"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55" w:history="1">
        <w:r w:rsidR="00B22D39" w:rsidRPr="00274E26">
          <w:rPr>
            <w:rStyle w:val="Hyperlink"/>
            <w:noProof/>
          </w:rPr>
          <w:t>Figure 20  CashBack for Creativity Open Fund Year 3 organisations – spend by Local Authority</w:t>
        </w:r>
        <w:r w:rsidR="00B22D39">
          <w:rPr>
            <w:noProof/>
            <w:webHidden/>
          </w:rPr>
          <w:tab/>
        </w:r>
        <w:r w:rsidR="00B22D39">
          <w:rPr>
            <w:noProof/>
            <w:webHidden/>
          </w:rPr>
          <w:fldChar w:fldCharType="begin"/>
        </w:r>
        <w:r w:rsidR="00B22D39">
          <w:rPr>
            <w:noProof/>
            <w:webHidden/>
          </w:rPr>
          <w:instrText xml:space="preserve"> PAGEREF _Toc42266755 \h </w:instrText>
        </w:r>
        <w:r w:rsidR="00B22D39">
          <w:rPr>
            <w:noProof/>
            <w:webHidden/>
          </w:rPr>
        </w:r>
        <w:r w:rsidR="00B22D39">
          <w:rPr>
            <w:noProof/>
            <w:webHidden/>
          </w:rPr>
          <w:fldChar w:fldCharType="separate"/>
        </w:r>
        <w:r w:rsidR="004E4427">
          <w:rPr>
            <w:noProof/>
            <w:webHidden/>
          </w:rPr>
          <w:t>43</w:t>
        </w:r>
        <w:r w:rsidR="00B22D39">
          <w:rPr>
            <w:noProof/>
            <w:webHidden/>
          </w:rPr>
          <w:fldChar w:fldCharType="end"/>
        </w:r>
      </w:hyperlink>
    </w:p>
    <w:p w14:paraId="0C752590" w14:textId="55A155D6"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56" w:history="1">
        <w:r w:rsidR="00B22D39" w:rsidRPr="00274E26">
          <w:rPr>
            <w:rStyle w:val="Hyperlink"/>
            <w:noProof/>
          </w:rPr>
          <w:t>Figure 21  CashBack for Creativity Targeted Fund organisations – Year 3 and project spend by organisation</w:t>
        </w:r>
        <w:r w:rsidR="00B22D39">
          <w:rPr>
            <w:noProof/>
            <w:webHidden/>
          </w:rPr>
          <w:tab/>
        </w:r>
        <w:r w:rsidR="00B22D39">
          <w:rPr>
            <w:noProof/>
            <w:webHidden/>
          </w:rPr>
          <w:fldChar w:fldCharType="begin"/>
        </w:r>
        <w:r w:rsidR="00B22D39">
          <w:rPr>
            <w:noProof/>
            <w:webHidden/>
          </w:rPr>
          <w:instrText xml:space="preserve"> PAGEREF _Toc42266756 \h </w:instrText>
        </w:r>
        <w:r w:rsidR="00B22D39">
          <w:rPr>
            <w:noProof/>
            <w:webHidden/>
          </w:rPr>
        </w:r>
        <w:r w:rsidR="00B22D39">
          <w:rPr>
            <w:noProof/>
            <w:webHidden/>
          </w:rPr>
          <w:fldChar w:fldCharType="separate"/>
        </w:r>
        <w:r w:rsidR="004E4427">
          <w:rPr>
            <w:noProof/>
            <w:webHidden/>
          </w:rPr>
          <w:t>44</w:t>
        </w:r>
        <w:r w:rsidR="00B22D39">
          <w:rPr>
            <w:noProof/>
            <w:webHidden/>
          </w:rPr>
          <w:fldChar w:fldCharType="end"/>
        </w:r>
      </w:hyperlink>
    </w:p>
    <w:p w14:paraId="052ECD2C" w14:textId="4437B818"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57" w:history="1">
        <w:r w:rsidR="00B22D39" w:rsidRPr="00274E26">
          <w:rPr>
            <w:rStyle w:val="Hyperlink"/>
            <w:noProof/>
          </w:rPr>
          <w:t>Figure 22  CashBack for Creativity Targeted Fund organisations – spend by Local Authority (Year 3)</w:t>
        </w:r>
        <w:r w:rsidR="00B22D39">
          <w:rPr>
            <w:noProof/>
            <w:webHidden/>
          </w:rPr>
          <w:tab/>
        </w:r>
        <w:r w:rsidR="00B22D39">
          <w:rPr>
            <w:noProof/>
            <w:webHidden/>
          </w:rPr>
          <w:fldChar w:fldCharType="begin"/>
        </w:r>
        <w:r w:rsidR="00B22D39">
          <w:rPr>
            <w:noProof/>
            <w:webHidden/>
          </w:rPr>
          <w:instrText xml:space="preserve"> PAGEREF _Toc42266757 \h </w:instrText>
        </w:r>
        <w:r w:rsidR="00B22D39">
          <w:rPr>
            <w:noProof/>
            <w:webHidden/>
          </w:rPr>
        </w:r>
        <w:r w:rsidR="00B22D39">
          <w:rPr>
            <w:noProof/>
            <w:webHidden/>
          </w:rPr>
          <w:fldChar w:fldCharType="separate"/>
        </w:r>
        <w:r w:rsidR="004E4427">
          <w:rPr>
            <w:noProof/>
            <w:webHidden/>
          </w:rPr>
          <w:t>45</w:t>
        </w:r>
        <w:r w:rsidR="00B22D39">
          <w:rPr>
            <w:noProof/>
            <w:webHidden/>
          </w:rPr>
          <w:fldChar w:fldCharType="end"/>
        </w:r>
      </w:hyperlink>
    </w:p>
    <w:p w14:paraId="6F81CBE0" w14:textId="6F584D15" w:rsidR="00B22D39" w:rsidRDefault="00842AD4">
      <w:pPr>
        <w:pStyle w:val="TableofFigures"/>
        <w:tabs>
          <w:tab w:val="right" w:leader="dot" w:pos="7091"/>
        </w:tabs>
        <w:rPr>
          <w:rFonts w:asciiTheme="minorHAnsi" w:eastAsiaTheme="minorEastAsia" w:hAnsiTheme="minorHAnsi"/>
          <w:noProof/>
          <w:sz w:val="22"/>
          <w:szCs w:val="22"/>
          <w:lang w:eastAsia="en-GB"/>
        </w:rPr>
      </w:pPr>
      <w:hyperlink w:anchor="_Toc42266758" w:history="1">
        <w:r w:rsidR="00B22D39" w:rsidRPr="00274E26">
          <w:rPr>
            <w:rStyle w:val="Hyperlink"/>
            <w:noProof/>
          </w:rPr>
          <w:t>Figure 23  CashBack for Creativity Targeted Fund organisations – spend by Local Authority (All years)</w:t>
        </w:r>
        <w:r w:rsidR="00B22D39">
          <w:rPr>
            <w:noProof/>
            <w:webHidden/>
          </w:rPr>
          <w:tab/>
        </w:r>
        <w:r w:rsidR="00B22D39">
          <w:rPr>
            <w:noProof/>
            <w:webHidden/>
          </w:rPr>
          <w:fldChar w:fldCharType="begin"/>
        </w:r>
        <w:r w:rsidR="00B22D39">
          <w:rPr>
            <w:noProof/>
            <w:webHidden/>
          </w:rPr>
          <w:instrText xml:space="preserve"> PAGEREF _Toc42266758 \h </w:instrText>
        </w:r>
        <w:r w:rsidR="00B22D39">
          <w:rPr>
            <w:noProof/>
            <w:webHidden/>
          </w:rPr>
        </w:r>
        <w:r w:rsidR="00B22D39">
          <w:rPr>
            <w:noProof/>
            <w:webHidden/>
          </w:rPr>
          <w:fldChar w:fldCharType="separate"/>
        </w:r>
        <w:r w:rsidR="004E4427">
          <w:rPr>
            <w:noProof/>
            <w:webHidden/>
          </w:rPr>
          <w:t>46</w:t>
        </w:r>
        <w:r w:rsidR="00B22D39">
          <w:rPr>
            <w:noProof/>
            <w:webHidden/>
          </w:rPr>
          <w:fldChar w:fldCharType="end"/>
        </w:r>
      </w:hyperlink>
    </w:p>
    <w:p w14:paraId="0BE4E784" w14:textId="5B7CE85A" w:rsidR="00C419D8" w:rsidRPr="00631C1B" w:rsidRDefault="00C419D8" w:rsidP="00C419D8">
      <w:pPr>
        <w:pStyle w:val="Subheadingnonumber"/>
        <w:spacing w:after="120"/>
        <w:sectPr w:rsidR="00C419D8" w:rsidRPr="00631C1B" w:rsidSect="00A508FD">
          <w:type w:val="continuous"/>
          <w:pgSz w:w="16838" w:h="11906" w:orient="landscape"/>
          <w:pgMar w:top="1440" w:right="964" w:bottom="1440" w:left="964" w:header="709" w:footer="709" w:gutter="0"/>
          <w:pgNumType w:start="0"/>
          <w:cols w:num="2" w:space="708"/>
          <w:docGrid w:linePitch="360"/>
        </w:sectPr>
      </w:pPr>
      <w:r w:rsidRPr="00631C1B">
        <w:fldChar w:fldCharType="end"/>
      </w:r>
    </w:p>
    <w:p w14:paraId="6792599D" w14:textId="3AFA1ABA" w:rsidR="00751CEA" w:rsidRPr="00631C1B" w:rsidRDefault="00FA7B84" w:rsidP="00FA7B84">
      <w:pPr>
        <w:pStyle w:val="Headingnonumber"/>
      </w:pPr>
      <w:bookmarkStart w:id="0" w:name="_Toc43980010"/>
      <w:bookmarkStart w:id="1" w:name="Junk"/>
      <w:r w:rsidRPr="00631C1B">
        <w:lastRenderedPageBreak/>
        <w:t>Executive Summary</w:t>
      </w:r>
      <w:bookmarkEnd w:id="0"/>
    </w:p>
    <w:p w14:paraId="4AB03441" w14:textId="2E655E3E" w:rsidR="00D94D09" w:rsidRPr="00631C1B" w:rsidRDefault="00281FAF" w:rsidP="00D94D09">
      <w:pPr>
        <w:pStyle w:val="BodyText"/>
      </w:pPr>
      <w:proofErr w:type="spellStart"/>
      <w:r w:rsidRPr="00631C1B">
        <w:t>CashBack</w:t>
      </w:r>
      <w:proofErr w:type="spellEnd"/>
      <w:r w:rsidR="00D94D09" w:rsidRPr="00631C1B">
        <w:t xml:space="preserve"> for Creativity offers young people across Scotland the opportunity to engage in creative and cultural activity. Funded by the Scottish Government’s </w:t>
      </w:r>
      <w:proofErr w:type="spellStart"/>
      <w:r w:rsidRPr="00631C1B">
        <w:t>CashBack</w:t>
      </w:r>
      <w:proofErr w:type="spellEnd"/>
      <w:r w:rsidR="00D94D09" w:rsidRPr="00631C1B">
        <w:t xml:space="preserve"> for Communities programme, it provides high quality learning and developmental activities across all art forms. </w:t>
      </w:r>
    </w:p>
    <w:p w14:paraId="5356A974" w14:textId="77777777" w:rsidR="005B1804" w:rsidRPr="00631C1B" w:rsidRDefault="005B1804" w:rsidP="005B1804">
      <w:pPr>
        <w:pStyle w:val="Subheadingnonumber"/>
      </w:pPr>
      <w:r w:rsidRPr="00631C1B">
        <w:t>Year 3 overview</w:t>
      </w:r>
    </w:p>
    <w:p w14:paraId="3EAFB8A8" w14:textId="75972F17" w:rsidR="005B1804" w:rsidRPr="00631C1B" w:rsidRDefault="005B1804" w:rsidP="005B1804">
      <w:pPr>
        <w:pStyle w:val="BodyText"/>
      </w:pPr>
      <w:r w:rsidRPr="00631C1B">
        <w:t xml:space="preserve">In Year 3 of </w:t>
      </w:r>
      <w:proofErr w:type="spellStart"/>
      <w:r w:rsidRPr="00631C1B">
        <w:t>CashBack</w:t>
      </w:r>
      <w:proofErr w:type="spellEnd"/>
      <w:r w:rsidRPr="00631C1B">
        <w:t xml:space="preserve"> for Creativity Phase 4, a total of 5,</w:t>
      </w:r>
      <w:r w:rsidR="00997953">
        <w:t>3</w:t>
      </w:r>
      <w:r w:rsidR="00CA1ECF">
        <w:t>89</w:t>
      </w:r>
      <w:r w:rsidRPr="00631C1B">
        <w:t xml:space="preserve"> young people participated in the activities of 60 projects.</w:t>
      </w:r>
    </w:p>
    <w:p w14:paraId="764BE5FC" w14:textId="6F96235B" w:rsidR="005B1804" w:rsidRPr="00631C1B" w:rsidRDefault="005B1804" w:rsidP="005B1804">
      <w:pPr>
        <w:pStyle w:val="BodyText"/>
      </w:pPr>
      <w:r w:rsidRPr="00631C1B">
        <w:t>This included 2,2</w:t>
      </w:r>
      <w:r w:rsidR="00CA1ECF">
        <w:t>82</w:t>
      </w:r>
      <w:r w:rsidRPr="00631C1B">
        <w:t xml:space="preserve"> young people across the 15 projects within the Targeted Fund, and 3,</w:t>
      </w:r>
      <w:r w:rsidR="00997953">
        <w:t>107</w:t>
      </w:r>
      <w:r w:rsidRPr="00631C1B">
        <w:t xml:space="preserve"> young people across the 45 projects of the Open Fund. </w:t>
      </w:r>
    </w:p>
    <w:p w14:paraId="58C2F665" w14:textId="77777777" w:rsidR="005B1804" w:rsidRPr="00631C1B" w:rsidRDefault="005B1804" w:rsidP="005B1804">
      <w:pPr>
        <w:pStyle w:val="BodyText"/>
      </w:pPr>
      <w:proofErr w:type="spellStart"/>
      <w:r w:rsidRPr="00631C1B">
        <w:t>CashBack</w:t>
      </w:r>
      <w:proofErr w:type="spellEnd"/>
      <w:r w:rsidRPr="00631C1B">
        <w:t xml:space="preserve"> for Creativity is reaching those living in some of Scotland’s poorest areas:</w:t>
      </w:r>
    </w:p>
    <w:p w14:paraId="4A7378A7" w14:textId="77777777" w:rsidR="005B1804" w:rsidRPr="00631C1B" w:rsidRDefault="005B1804" w:rsidP="005B1804">
      <w:pPr>
        <w:pStyle w:val="BodyText"/>
      </w:pPr>
      <w:r w:rsidRPr="00631C1B">
        <w:t>76.6% of participants came from or took part in the 0-20% most deprived areas of Scotland, and just 13.5% from within the 50-100% least deprived areas of Scotland.</w:t>
      </w:r>
    </w:p>
    <w:p w14:paraId="4AE87117" w14:textId="77777777" w:rsidR="005B1804" w:rsidRPr="00631C1B" w:rsidRDefault="005B1804" w:rsidP="005B1804">
      <w:r w:rsidRPr="00631C1B">
        <w:t>High numbers of participants were recorded as achieving positive outcomes as a result of taking part, including:</w:t>
      </w:r>
    </w:p>
    <w:p w14:paraId="524751B3" w14:textId="77777777" w:rsidR="005B1804" w:rsidRPr="00631C1B" w:rsidRDefault="005B1804" w:rsidP="005B1804"/>
    <w:p w14:paraId="151631C5" w14:textId="77777777" w:rsidR="005B1804" w:rsidRPr="00631C1B" w:rsidRDefault="005B1804" w:rsidP="005B1804">
      <w:pPr>
        <w:pStyle w:val="ListBullet"/>
      </w:pPr>
      <w:r w:rsidRPr="00631C1B">
        <w:t>4,512 Young people reported their confidence increased</w:t>
      </w:r>
    </w:p>
    <w:p w14:paraId="0F802212" w14:textId="0715C136" w:rsidR="005B1804" w:rsidRPr="00631C1B" w:rsidRDefault="005B1804" w:rsidP="005B1804">
      <w:pPr>
        <w:pStyle w:val="ListBullet"/>
      </w:pPr>
      <w:r w:rsidRPr="00631C1B">
        <w:t xml:space="preserve">4,551 Young people reported they </w:t>
      </w:r>
      <w:proofErr w:type="gramStart"/>
      <w:r w:rsidRPr="00631C1B">
        <w:t>are able to</w:t>
      </w:r>
      <w:proofErr w:type="gramEnd"/>
      <w:r w:rsidRPr="00631C1B">
        <w:t xml:space="preserve"> do new things</w:t>
      </w:r>
      <w:r w:rsidR="00007975" w:rsidRPr="00631C1B">
        <w:t>, as a result of the programme</w:t>
      </w:r>
    </w:p>
    <w:p w14:paraId="41A7B54D" w14:textId="77777777" w:rsidR="005B1804" w:rsidRPr="00631C1B" w:rsidRDefault="005B1804" w:rsidP="005B1804">
      <w:pPr>
        <w:pStyle w:val="ListBullet"/>
      </w:pPr>
      <w:r w:rsidRPr="00631C1B">
        <w:t xml:space="preserve">3,660 Young people reported their (creative and technical) skills were increased </w:t>
      </w:r>
    </w:p>
    <w:p w14:paraId="59E31D9E" w14:textId="77777777" w:rsidR="005B1804" w:rsidRPr="00631C1B" w:rsidRDefault="005B1804" w:rsidP="005B1804">
      <w:pPr>
        <w:pStyle w:val="ListBullet"/>
      </w:pPr>
      <w:r w:rsidRPr="00631C1B">
        <w:t>1,505 Young people gained accreditations (e.g. Arts Award)</w:t>
      </w:r>
    </w:p>
    <w:p w14:paraId="78F41DA5" w14:textId="7FCA0FA2" w:rsidR="005B1804" w:rsidRPr="00631C1B" w:rsidRDefault="005B1804" w:rsidP="005B1804">
      <w:pPr>
        <w:pStyle w:val="ListBullet"/>
      </w:pPr>
      <w:r w:rsidRPr="00631C1B">
        <w:t>3,769 Young people reported a positive impact on their wellbeing</w:t>
      </w:r>
      <w:r w:rsidR="00D87B1D" w:rsidRPr="00631C1B">
        <w:t>.</w:t>
      </w:r>
    </w:p>
    <w:p w14:paraId="48224EAF" w14:textId="77777777" w:rsidR="005B1804" w:rsidRPr="00631C1B" w:rsidRDefault="005B1804" w:rsidP="005B1804">
      <w:r w:rsidRPr="00631C1B">
        <w:t>The outcomes that scored particularly highly against what was expected in Year 3 were those related to taking part in accreditations or progressing to positive destinations. These included:</w:t>
      </w:r>
    </w:p>
    <w:p w14:paraId="67316045" w14:textId="77777777" w:rsidR="005B1804" w:rsidRPr="00631C1B" w:rsidRDefault="005B1804" w:rsidP="005B1804"/>
    <w:p w14:paraId="6C4728F4" w14:textId="2AE2AC43" w:rsidR="005B1804" w:rsidRPr="00631C1B" w:rsidRDefault="005B1804" w:rsidP="00491AB1">
      <w:pPr>
        <w:pStyle w:val="ListBullet"/>
      </w:pPr>
      <w:r w:rsidRPr="00631C1B">
        <w:t>Y</w:t>
      </w:r>
      <w:r w:rsidR="002A3D42" w:rsidRPr="00631C1B">
        <w:t xml:space="preserve">oung people </w:t>
      </w:r>
      <w:r w:rsidRPr="00631C1B">
        <w:t>progressing into further opportunities</w:t>
      </w:r>
      <w:r w:rsidR="005A346A" w:rsidRPr="00631C1B">
        <w:t xml:space="preserve">, especially </w:t>
      </w:r>
      <w:r w:rsidR="004D412B" w:rsidRPr="00631C1B">
        <w:t>progressing into a further informal learning opportunity in another organisation</w:t>
      </w:r>
      <w:r w:rsidR="00892F71" w:rsidRPr="00631C1B">
        <w:t>, or r</w:t>
      </w:r>
      <w:r w:rsidR="004D412B" w:rsidRPr="00631C1B">
        <w:t xml:space="preserve">emaining at </w:t>
      </w:r>
      <w:r w:rsidR="00892F71" w:rsidRPr="00631C1B">
        <w:t>/</w:t>
      </w:r>
      <w:r w:rsidR="004D412B" w:rsidRPr="00631C1B">
        <w:t xml:space="preserve"> returning to school</w:t>
      </w:r>
    </w:p>
    <w:p w14:paraId="00FB1C72" w14:textId="69C4D91D" w:rsidR="005B1804" w:rsidRPr="00631C1B" w:rsidRDefault="005B1804" w:rsidP="005B1804">
      <w:pPr>
        <w:pStyle w:val="ListBullet"/>
      </w:pPr>
      <w:r w:rsidRPr="00631C1B">
        <w:t>Y</w:t>
      </w:r>
      <w:r w:rsidR="002A3D42" w:rsidRPr="00631C1B">
        <w:t>oung people gain</w:t>
      </w:r>
      <w:r w:rsidR="00D4222C" w:rsidRPr="00631C1B">
        <w:t>ing</w:t>
      </w:r>
      <w:r w:rsidRPr="00631C1B">
        <w:t xml:space="preserve"> accreditation for learning and skills development</w:t>
      </w:r>
      <w:r w:rsidR="00814A7A" w:rsidRPr="00631C1B">
        <w:t xml:space="preserve">. The target was </w:t>
      </w:r>
      <w:r w:rsidRPr="00631C1B">
        <w:t>surpassed</w:t>
      </w:r>
      <w:r w:rsidR="00FC5DC2" w:rsidRPr="00631C1B">
        <w:t xml:space="preserve"> in Year 3</w:t>
      </w:r>
      <w:r w:rsidR="00814A7A" w:rsidRPr="00631C1B">
        <w:t xml:space="preserve">. Arts Award and </w:t>
      </w:r>
      <w:r w:rsidR="0093047B" w:rsidRPr="00631C1B">
        <w:t>Dynamic Youth Awards were particularly popular</w:t>
      </w:r>
    </w:p>
    <w:p w14:paraId="5E8CDC87" w14:textId="05D007A5" w:rsidR="002A3D42" w:rsidRPr="00631C1B" w:rsidRDefault="005B1804" w:rsidP="005B1804">
      <w:pPr>
        <w:pStyle w:val="ListBullet"/>
      </w:pPr>
      <w:r w:rsidRPr="00631C1B">
        <w:t>Y</w:t>
      </w:r>
      <w:r w:rsidR="00D4222C" w:rsidRPr="00631C1B">
        <w:t xml:space="preserve">oung people </w:t>
      </w:r>
      <w:r w:rsidRPr="00631C1B">
        <w:t>feeling able to do new things</w:t>
      </w:r>
      <w:r w:rsidR="00622841" w:rsidRPr="00631C1B">
        <w:t xml:space="preserve"> following their engagement</w:t>
      </w:r>
    </w:p>
    <w:p w14:paraId="3C7EE202" w14:textId="643AFA24" w:rsidR="005B1804" w:rsidRPr="00631C1B" w:rsidRDefault="00D42A1A" w:rsidP="005B1804">
      <w:pPr>
        <w:pStyle w:val="ListBullet"/>
      </w:pPr>
      <w:r w:rsidRPr="00631C1B">
        <w:t>S</w:t>
      </w:r>
      <w:r w:rsidR="002A3D42" w:rsidRPr="00631C1B">
        <w:t xml:space="preserve">takeholders reporting </w:t>
      </w:r>
      <w:r w:rsidR="00D4222C" w:rsidRPr="00631C1B">
        <w:t>an</w:t>
      </w:r>
      <w:r w:rsidR="002A3D42" w:rsidRPr="00631C1B">
        <w:t xml:space="preserve"> increas</w:t>
      </w:r>
      <w:r w:rsidR="00D4222C" w:rsidRPr="00631C1B">
        <w:t>e in young people’s</w:t>
      </w:r>
      <w:r w:rsidR="002A3D42" w:rsidRPr="00631C1B">
        <w:t xml:space="preserve"> confidence</w:t>
      </w:r>
      <w:r w:rsidR="00D4222C" w:rsidRPr="00631C1B">
        <w:t xml:space="preserve"> and </w:t>
      </w:r>
      <w:r w:rsidR="002A3D42" w:rsidRPr="00631C1B">
        <w:t>capacity</w:t>
      </w:r>
      <w:r w:rsidR="00623BA4" w:rsidRPr="00631C1B">
        <w:t>.</w:t>
      </w:r>
    </w:p>
    <w:p w14:paraId="6AB14117" w14:textId="61DAFF27" w:rsidR="005B1804" w:rsidRPr="00631C1B" w:rsidRDefault="005B1804" w:rsidP="005B1804">
      <w:pPr>
        <w:pStyle w:val="ListBullet"/>
        <w:numPr>
          <w:ilvl w:val="0"/>
          <w:numId w:val="0"/>
        </w:numPr>
      </w:pPr>
      <w:r w:rsidRPr="00631C1B">
        <w:t xml:space="preserve">These numbers indicate strong relationships between the </w:t>
      </w:r>
      <w:r w:rsidR="00D816C7" w:rsidRPr="00631C1B">
        <w:t>funded</w:t>
      </w:r>
      <w:r w:rsidRPr="00631C1B">
        <w:t xml:space="preserve"> organisations and local schools and colleges</w:t>
      </w:r>
      <w:r w:rsidR="002D4838" w:rsidRPr="00631C1B">
        <w:t xml:space="preserve">, as well as having an impact on a wide range of </w:t>
      </w:r>
      <w:r w:rsidR="00D816C7" w:rsidRPr="00631C1B">
        <w:t xml:space="preserve">personal </w:t>
      </w:r>
      <w:r w:rsidR="002D4838" w:rsidRPr="00631C1B">
        <w:t>outcomes.</w:t>
      </w:r>
    </w:p>
    <w:p w14:paraId="2D1AF6E8" w14:textId="77777777" w:rsidR="005B1804" w:rsidRPr="00631C1B" w:rsidRDefault="005B1804" w:rsidP="005B1804">
      <w:r w:rsidRPr="00631C1B">
        <w:t>The outcome areas that scored lower than expected include:</w:t>
      </w:r>
    </w:p>
    <w:p w14:paraId="7E7EFD2A" w14:textId="2D568A30" w:rsidR="005B1804" w:rsidRPr="00631C1B" w:rsidRDefault="005B1804" w:rsidP="005B1804">
      <w:pPr>
        <w:pStyle w:val="ListBullet"/>
      </w:pPr>
      <w:r w:rsidRPr="00631C1B">
        <w:t>Young people report</w:t>
      </w:r>
      <w:r w:rsidR="00A37822" w:rsidRPr="00631C1B">
        <w:t>ing</w:t>
      </w:r>
      <w:r w:rsidRPr="00631C1B">
        <w:t xml:space="preserve"> their skills</w:t>
      </w:r>
      <w:r w:rsidR="00A37822" w:rsidRPr="00631C1B">
        <w:t xml:space="preserve"> </w:t>
      </w:r>
      <w:r w:rsidRPr="00631C1B">
        <w:t>increas</w:t>
      </w:r>
      <w:r w:rsidR="00A37822" w:rsidRPr="00631C1B">
        <w:t>ed</w:t>
      </w:r>
      <w:r w:rsidRPr="00631C1B">
        <w:t xml:space="preserve"> </w:t>
      </w:r>
    </w:p>
    <w:p w14:paraId="68C3411F" w14:textId="11587BF5" w:rsidR="005B1804" w:rsidRPr="00631C1B" w:rsidRDefault="005B1804" w:rsidP="005B1804">
      <w:pPr>
        <w:pStyle w:val="ListBullet"/>
      </w:pPr>
      <w:r w:rsidRPr="00631C1B">
        <w:t>Young people report</w:t>
      </w:r>
      <w:r w:rsidR="00A37822" w:rsidRPr="00631C1B">
        <w:t xml:space="preserve">ing an </w:t>
      </w:r>
      <w:r w:rsidRPr="00631C1B">
        <w:t>increas</w:t>
      </w:r>
      <w:r w:rsidR="00A37822" w:rsidRPr="00631C1B">
        <w:t>e in their</w:t>
      </w:r>
      <w:r w:rsidRPr="00631C1B">
        <w:t xml:space="preserve"> aspirations</w:t>
      </w:r>
    </w:p>
    <w:p w14:paraId="25A62EAF" w14:textId="462B9388" w:rsidR="005B1804" w:rsidRPr="00631C1B" w:rsidRDefault="005B1804" w:rsidP="005B1804">
      <w:pPr>
        <w:pStyle w:val="ListBullet"/>
      </w:pPr>
      <w:r w:rsidRPr="00631C1B">
        <w:t>Young people report</w:t>
      </w:r>
      <w:r w:rsidR="00A37822" w:rsidRPr="00631C1B">
        <w:t>ing</w:t>
      </w:r>
      <w:r w:rsidRPr="00631C1B">
        <w:t xml:space="preserve"> </w:t>
      </w:r>
      <w:r w:rsidR="00A37822" w:rsidRPr="00631C1B">
        <w:t xml:space="preserve">a </w:t>
      </w:r>
      <w:r w:rsidRPr="00631C1B">
        <w:t>positive change in their behaviour</w:t>
      </w:r>
      <w:r w:rsidR="00A37822" w:rsidRPr="00631C1B">
        <w:t>.</w:t>
      </w:r>
    </w:p>
    <w:p w14:paraId="7359C30B" w14:textId="77777777" w:rsidR="005B1804" w:rsidRPr="00631C1B" w:rsidRDefault="005B1804" w:rsidP="005B1804">
      <w:pPr>
        <w:pStyle w:val="Subheadingnonumber"/>
      </w:pPr>
      <w:r w:rsidRPr="00631C1B">
        <w:t>All years overview</w:t>
      </w:r>
    </w:p>
    <w:p w14:paraId="559C642C" w14:textId="4AE2AFF0" w:rsidR="005B1804" w:rsidRPr="00631C1B" w:rsidRDefault="005B1804" w:rsidP="005B1804">
      <w:pPr>
        <w:pStyle w:val="BodyText"/>
      </w:pPr>
      <w:r w:rsidRPr="00631C1B">
        <w:t xml:space="preserve">Across the three years of </w:t>
      </w:r>
      <w:proofErr w:type="spellStart"/>
      <w:r w:rsidRPr="00631C1B">
        <w:t>CashBack</w:t>
      </w:r>
      <w:proofErr w:type="spellEnd"/>
      <w:r w:rsidRPr="00631C1B">
        <w:t xml:space="preserve"> for Creativity Phase 4, a total of 14,2</w:t>
      </w:r>
      <w:r w:rsidR="005E515E">
        <w:t>72</w:t>
      </w:r>
      <w:r w:rsidRPr="00631C1B">
        <w:t xml:space="preserve"> young people participated in the activities of 127 projects.</w:t>
      </w:r>
    </w:p>
    <w:p w14:paraId="6BBBCA77" w14:textId="571F1008" w:rsidR="005B1804" w:rsidRPr="00631C1B" w:rsidRDefault="005B1804" w:rsidP="005B1804">
      <w:pPr>
        <w:pStyle w:val="BodyText"/>
      </w:pPr>
      <w:r w:rsidRPr="00631C1B">
        <w:t>This included 6,7</w:t>
      </w:r>
      <w:r w:rsidR="005E515E">
        <w:t xml:space="preserve">39 </w:t>
      </w:r>
      <w:r w:rsidRPr="00631C1B">
        <w:t xml:space="preserve">young people across the 16 projects within the Targeted Fund, and 7,533 young people across the 111 projects of the Open Fund. </w:t>
      </w:r>
    </w:p>
    <w:p w14:paraId="1E53394F" w14:textId="6D7B16CE" w:rsidR="005B1804" w:rsidRPr="00631C1B" w:rsidRDefault="00500513" w:rsidP="005B1804">
      <w:pPr>
        <w:pStyle w:val="BodyText"/>
      </w:pPr>
      <w:r w:rsidRPr="00631C1B">
        <w:t xml:space="preserve">As with interim years, the </w:t>
      </w:r>
      <w:proofErr w:type="spellStart"/>
      <w:r w:rsidR="005B1804" w:rsidRPr="00631C1B">
        <w:t>CashBack</w:t>
      </w:r>
      <w:proofErr w:type="spellEnd"/>
      <w:r w:rsidR="005B1804" w:rsidRPr="00631C1B">
        <w:t xml:space="preserve"> for Creativity</w:t>
      </w:r>
      <w:r w:rsidRPr="00631C1B">
        <w:t xml:space="preserve"> programme </w:t>
      </w:r>
      <w:r w:rsidR="005B1804" w:rsidRPr="00631C1B">
        <w:t>reach</w:t>
      </w:r>
      <w:r w:rsidR="006E433F" w:rsidRPr="00631C1B">
        <w:t>ed</w:t>
      </w:r>
      <w:r w:rsidR="005B1804" w:rsidRPr="00631C1B">
        <w:t xml:space="preserve"> those living in some of Scotland’s poorest areas:</w:t>
      </w:r>
    </w:p>
    <w:p w14:paraId="79CA4BC2" w14:textId="77777777" w:rsidR="005B1804" w:rsidRPr="00631C1B" w:rsidRDefault="005B1804" w:rsidP="005B1804">
      <w:pPr>
        <w:pStyle w:val="BodyText"/>
      </w:pPr>
      <w:r w:rsidRPr="00631C1B">
        <w:t>61.5% of participants came from or took part in the 0-20% most deprived areas of Scotland, and just 17.2% from within the 50-100% least deprived areas of Scotland.</w:t>
      </w:r>
    </w:p>
    <w:p w14:paraId="60C95D4B" w14:textId="77777777" w:rsidR="005B1804" w:rsidRPr="00631C1B" w:rsidRDefault="005B1804" w:rsidP="005B1804">
      <w:r w:rsidRPr="00631C1B">
        <w:lastRenderedPageBreak/>
        <w:t>High numbers of participants were recorded as achieving positive outcomes as a result of taking part, including:</w:t>
      </w:r>
    </w:p>
    <w:p w14:paraId="280CDDFD" w14:textId="77777777" w:rsidR="005B1804" w:rsidRPr="00631C1B" w:rsidRDefault="005B1804" w:rsidP="005B1804"/>
    <w:p w14:paraId="10AD014A" w14:textId="77777777" w:rsidR="005B1804" w:rsidRPr="00631C1B" w:rsidRDefault="005B1804" w:rsidP="005B1804">
      <w:pPr>
        <w:pStyle w:val="ListBullet"/>
      </w:pPr>
      <w:r w:rsidRPr="00631C1B">
        <w:t>10,862 Young people reported their confidence increased</w:t>
      </w:r>
    </w:p>
    <w:p w14:paraId="58172735" w14:textId="67DDC0B3" w:rsidR="005B1804" w:rsidRPr="00631C1B" w:rsidRDefault="005B1804" w:rsidP="005B1804">
      <w:pPr>
        <w:pStyle w:val="ListBullet"/>
      </w:pPr>
      <w:r w:rsidRPr="00631C1B">
        <w:t xml:space="preserve">10,696 Young people reported they </w:t>
      </w:r>
      <w:proofErr w:type="gramStart"/>
      <w:r w:rsidRPr="00631C1B">
        <w:t>are able to</w:t>
      </w:r>
      <w:proofErr w:type="gramEnd"/>
      <w:r w:rsidRPr="00631C1B">
        <w:t xml:space="preserve"> do new things</w:t>
      </w:r>
      <w:r w:rsidR="006E433F" w:rsidRPr="00631C1B">
        <w:t>, as a result of the programme</w:t>
      </w:r>
    </w:p>
    <w:p w14:paraId="0B48065B" w14:textId="77777777" w:rsidR="005B1804" w:rsidRPr="00631C1B" w:rsidRDefault="005B1804" w:rsidP="005B1804">
      <w:pPr>
        <w:pStyle w:val="ListBullet"/>
      </w:pPr>
      <w:r w:rsidRPr="00631C1B">
        <w:t xml:space="preserve">9,403 Young people reported their (creative and technical) skills were increased </w:t>
      </w:r>
    </w:p>
    <w:p w14:paraId="65288C53" w14:textId="77777777" w:rsidR="005B1804" w:rsidRPr="00631C1B" w:rsidRDefault="005B1804" w:rsidP="005B1804">
      <w:pPr>
        <w:pStyle w:val="ListBullet"/>
      </w:pPr>
      <w:r w:rsidRPr="00631C1B">
        <w:t>3,155 Young people gained accreditations (e.g. Arts Award)</w:t>
      </w:r>
    </w:p>
    <w:p w14:paraId="5F9C3FFD" w14:textId="77777777" w:rsidR="005B1804" w:rsidRPr="00631C1B" w:rsidRDefault="005B1804" w:rsidP="005B1804">
      <w:pPr>
        <w:pStyle w:val="ListBullet"/>
      </w:pPr>
      <w:r w:rsidRPr="00631C1B">
        <w:t>9,435 Young people reported a positive impact on their wellbeing</w:t>
      </w:r>
    </w:p>
    <w:p w14:paraId="063396AD" w14:textId="7220579B" w:rsidR="00964042" w:rsidRPr="00631C1B" w:rsidRDefault="00964042" w:rsidP="00964042">
      <w:r w:rsidRPr="00631C1B">
        <w:t>The outcomes that scored particularly highly against what was expected over the three years were those related to taking part in accreditations or progressing to positive destinations. These included:</w:t>
      </w:r>
    </w:p>
    <w:p w14:paraId="04282213" w14:textId="77777777" w:rsidR="00964042" w:rsidRPr="00631C1B" w:rsidRDefault="00964042" w:rsidP="00964042"/>
    <w:p w14:paraId="12AFE15C" w14:textId="7F4EFA9A" w:rsidR="00964042" w:rsidRPr="00631C1B" w:rsidRDefault="00964042" w:rsidP="00491AB1">
      <w:pPr>
        <w:pStyle w:val="ListBullet"/>
      </w:pPr>
      <w:r w:rsidRPr="00631C1B">
        <w:t xml:space="preserve">Young people progressing into further opportunities, especially progressing </w:t>
      </w:r>
      <w:r w:rsidR="00941065" w:rsidRPr="00631C1B">
        <w:t>into a further informal learning opportunity in the host organisation or in another organisation</w:t>
      </w:r>
      <w:r w:rsidR="00146AC3" w:rsidRPr="00631C1B">
        <w:t>, and</w:t>
      </w:r>
      <w:r w:rsidR="00941065" w:rsidRPr="00631C1B">
        <w:t xml:space="preserve"> remaining at or returning to school</w:t>
      </w:r>
    </w:p>
    <w:p w14:paraId="00655194" w14:textId="587FFFD2" w:rsidR="00964042" w:rsidRPr="00631C1B" w:rsidRDefault="00964042" w:rsidP="00964042">
      <w:pPr>
        <w:pStyle w:val="ListBullet"/>
      </w:pPr>
      <w:r w:rsidRPr="00631C1B">
        <w:t>Young people gaining accreditation for learning and skills development. individuals</w:t>
      </w:r>
      <w:r w:rsidR="00146AC3" w:rsidRPr="00631C1B">
        <w:t>.</w:t>
      </w:r>
    </w:p>
    <w:p w14:paraId="6E6931B6" w14:textId="6E183D3D" w:rsidR="00AA7051" w:rsidRPr="00631C1B" w:rsidRDefault="00AA7051" w:rsidP="00AA7051">
      <w:pPr>
        <w:pStyle w:val="BodyText"/>
      </w:pPr>
      <w:r w:rsidRPr="00631C1B">
        <w:t xml:space="preserve">As with </w:t>
      </w:r>
      <w:r w:rsidR="00B11547" w:rsidRPr="00631C1B">
        <w:t>year three findings, t</w:t>
      </w:r>
      <w:r w:rsidRPr="00631C1B">
        <w:t xml:space="preserve">hese numbers indicate strong relationships between the </w:t>
      </w:r>
      <w:r w:rsidR="00DE5224" w:rsidRPr="00631C1B">
        <w:t>funded</w:t>
      </w:r>
      <w:r w:rsidRPr="00631C1B">
        <w:t xml:space="preserve"> organisations and local </w:t>
      </w:r>
      <w:r w:rsidR="00DE5224" w:rsidRPr="00631C1B">
        <w:t>partners</w:t>
      </w:r>
      <w:r w:rsidR="00B11547" w:rsidRPr="00631C1B">
        <w:t>.</w:t>
      </w:r>
    </w:p>
    <w:p w14:paraId="500461C3" w14:textId="77777777" w:rsidR="005B1804" w:rsidRPr="00631C1B" w:rsidRDefault="005B1804" w:rsidP="005B1804">
      <w:r w:rsidRPr="00631C1B">
        <w:t>The outcome areas that scored lower than expected include:</w:t>
      </w:r>
    </w:p>
    <w:p w14:paraId="3BF45986" w14:textId="77777777" w:rsidR="00E81757" w:rsidRPr="00631C1B" w:rsidRDefault="00E81757" w:rsidP="00491AB1">
      <w:pPr>
        <w:pStyle w:val="ListBullet"/>
      </w:pPr>
      <w:r w:rsidRPr="00631C1B">
        <w:t xml:space="preserve">Young people report their confidence increasing </w:t>
      </w:r>
    </w:p>
    <w:p w14:paraId="7F05B267" w14:textId="3AD7BCB0" w:rsidR="00C41CCD" w:rsidRPr="00631C1B" w:rsidRDefault="00C41CCD" w:rsidP="00491AB1">
      <w:pPr>
        <w:pStyle w:val="ListBullet"/>
      </w:pPr>
      <w:r w:rsidRPr="00631C1B">
        <w:t xml:space="preserve">Young people report increases in </w:t>
      </w:r>
      <w:r w:rsidR="0038445C" w:rsidRPr="00631C1B">
        <w:t>wellbeing</w:t>
      </w:r>
      <w:r w:rsidRPr="00631C1B">
        <w:t xml:space="preserve"> against SHANARRI indicators </w:t>
      </w:r>
    </w:p>
    <w:p w14:paraId="6CA82F57" w14:textId="77777777" w:rsidR="00CE6A20" w:rsidRPr="00631C1B" w:rsidRDefault="00CE6A20" w:rsidP="00CE6A20">
      <w:pPr>
        <w:pStyle w:val="ListBullet"/>
      </w:pPr>
      <w:r w:rsidRPr="00631C1B">
        <w:t>Young people report increased aspirations</w:t>
      </w:r>
    </w:p>
    <w:p w14:paraId="47F5D1C3" w14:textId="281B44A5" w:rsidR="00CE6A20" w:rsidRPr="00631C1B" w:rsidRDefault="00CE6A20" w:rsidP="00CE6A20">
      <w:pPr>
        <w:pStyle w:val="ListBullet"/>
      </w:pPr>
      <w:r w:rsidRPr="00631C1B">
        <w:t>Young people report positive changes in their behaviour</w:t>
      </w:r>
      <w:r w:rsidR="00E81757" w:rsidRPr="00631C1B">
        <w:t>.</w:t>
      </w:r>
    </w:p>
    <w:p w14:paraId="6D31357C" w14:textId="77777777" w:rsidR="00F46983" w:rsidRPr="00631C1B" w:rsidRDefault="00F46983" w:rsidP="00C41CCD">
      <w:pPr>
        <w:pStyle w:val="Subheadingnonumber"/>
      </w:pPr>
    </w:p>
    <w:p w14:paraId="22E8A26F" w14:textId="0A90B9B6" w:rsidR="00F65008" w:rsidRPr="00631C1B" w:rsidRDefault="00846DF8" w:rsidP="00C41CCD">
      <w:pPr>
        <w:pStyle w:val="Subheadingnonumber"/>
      </w:pPr>
      <w:r w:rsidRPr="00631C1B">
        <w:t>S</w:t>
      </w:r>
      <w:r w:rsidR="00F35C67" w:rsidRPr="00631C1B">
        <w:t xml:space="preserve">ummary of key </w:t>
      </w:r>
      <w:r w:rsidR="002A614A" w:rsidRPr="00631C1B">
        <w:t>programme learning</w:t>
      </w:r>
    </w:p>
    <w:p w14:paraId="4D8D4AEC" w14:textId="5C31B055" w:rsidR="0029542D" w:rsidRPr="00631C1B" w:rsidRDefault="0029542D" w:rsidP="0029542D">
      <w:pPr>
        <w:pStyle w:val="BodyText"/>
        <w:rPr>
          <w:u w:val="single"/>
        </w:rPr>
      </w:pPr>
      <w:r w:rsidRPr="00631C1B">
        <w:rPr>
          <w:u w:val="single"/>
        </w:rPr>
        <w:t xml:space="preserve">On </w:t>
      </w:r>
      <w:r w:rsidR="005F1537" w:rsidRPr="00631C1B">
        <w:rPr>
          <w:u w:val="single"/>
        </w:rPr>
        <w:t xml:space="preserve">maximising </w:t>
      </w:r>
      <w:r w:rsidRPr="00631C1B">
        <w:rPr>
          <w:u w:val="single"/>
        </w:rPr>
        <w:t xml:space="preserve">the </w:t>
      </w:r>
      <w:r w:rsidR="005F1537" w:rsidRPr="00631C1B">
        <w:rPr>
          <w:u w:val="single"/>
        </w:rPr>
        <w:t xml:space="preserve">positive </w:t>
      </w:r>
      <w:r w:rsidRPr="00631C1B">
        <w:rPr>
          <w:u w:val="single"/>
        </w:rPr>
        <w:t>impact on organisations</w:t>
      </w:r>
      <w:r w:rsidR="0038445C" w:rsidRPr="00631C1B">
        <w:rPr>
          <w:u w:val="single"/>
        </w:rPr>
        <w:t>:</w:t>
      </w:r>
    </w:p>
    <w:p w14:paraId="40801334" w14:textId="48C5DFEB" w:rsidR="0029542D" w:rsidRPr="00631C1B" w:rsidRDefault="0029542D" w:rsidP="0029542D">
      <w:pPr>
        <w:pStyle w:val="ListBullet"/>
      </w:pPr>
      <w:r w:rsidRPr="00631C1B">
        <w:t xml:space="preserve">Ensure programmes can be built-in to the overall organisational offer, and that staff and participants can </w:t>
      </w:r>
      <w:r w:rsidR="002D474D" w:rsidRPr="00631C1B">
        <w:t xml:space="preserve">be </w:t>
      </w:r>
      <w:r w:rsidRPr="00631C1B">
        <w:t>support</w:t>
      </w:r>
      <w:r w:rsidR="002D474D" w:rsidRPr="00631C1B">
        <w:t>ed</w:t>
      </w:r>
      <w:r w:rsidRPr="00631C1B">
        <w:t xml:space="preserve"> across projects from different funders wherever possible</w:t>
      </w:r>
    </w:p>
    <w:p w14:paraId="0C6D9912" w14:textId="77777777" w:rsidR="0029542D" w:rsidRPr="00631C1B" w:rsidRDefault="0029542D" w:rsidP="0029542D">
      <w:pPr>
        <w:pStyle w:val="ListBullet"/>
      </w:pPr>
      <w:r w:rsidRPr="00631C1B">
        <w:t>Funders should consider making some ‘draw-down’ funds available for when projects have the possibility to grow or positively adapt from agreed applications</w:t>
      </w:r>
    </w:p>
    <w:p w14:paraId="63ABD258" w14:textId="4AF12AF4" w:rsidR="0029542D" w:rsidRPr="00631C1B" w:rsidRDefault="0029542D" w:rsidP="0029542D">
      <w:pPr>
        <w:pStyle w:val="ListBullet"/>
      </w:pPr>
      <w:r w:rsidRPr="00631C1B">
        <w:t>Projects should ensure they have staff capacity to support on participant accreditation, as well as clear strategies for enabling participants to progress through accreditation wherever possible.</w:t>
      </w:r>
    </w:p>
    <w:p w14:paraId="51B15F0C" w14:textId="399A7EA3" w:rsidR="0029542D" w:rsidRPr="00631C1B" w:rsidRDefault="0029542D" w:rsidP="0029542D">
      <w:pPr>
        <w:pStyle w:val="BodyText"/>
        <w:rPr>
          <w:u w:val="single"/>
        </w:rPr>
      </w:pPr>
      <w:r w:rsidRPr="00631C1B">
        <w:rPr>
          <w:u w:val="single"/>
        </w:rPr>
        <w:t xml:space="preserve">On </w:t>
      </w:r>
      <w:r w:rsidR="005F1537" w:rsidRPr="00631C1B">
        <w:rPr>
          <w:u w:val="single"/>
        </w:rPr>
        <w:t xml:space="preserve">maximising </w:t>
      </w:r>
      <w:r w:rsidRPr="00631C1B">
        <w:rPr>
          <w:u w:val="single"/>
        </w:rPr>
        <w:t>the impact on communities</w:t>
      </w:r>
      <w:r w:rsidR="002D474D" w:rsidRPr="00631C1B">
        <w:rPr>
          <w:u w:val="single"/>
        </w:rPr>
        <w:t>:</w:t>
      </w:r>
    </w:p>
    <w:p w14:paraId="1C982A7A" w14:textId="6C70A1CE" w:rsidR="0029542D" w:rsidRPr="00631C1B" w:rsidRDefault="0029542D" w:rsidP="0029542D">
      <w:pPr>
        <w:pStyle w:val="ListBullet"/>
      </w:pPr>
      <w:r w:rsidRPr="00631C1B">
        <w:t xml:space="preserve">Encourage projects to consider devising a ‘community impact’ plan, which will outline which ways they will intend to have a positive </w:t>
      </w:r>
      <w:r w:rsidR="008215BB" w:rsidRPr="00631C1B">
        <w:t>a</w:t>
      </w:r>
      <w:r w:rsidRPr="00631C1B">
        <w:t>ffect locally, including any additional partnerships needed</w:t>
      </w:r>
    </w:p>
    <w:p w14:paraId="7A45FF0D" w14:textId="0886E20B" w:rsidR="0029542D" w:rsidRPr="00631C1B" w:rsidRDefault="0029542D" w:rsidP="0029542D">
      <w:pPr>
        <w:pStyle w:val="ListBullet"/>
      </w:pPr>
      <w:r w:rsidRPr="00631C1B">
        <w:t>Consider how funded projects can be made aware of other funded activity in their locality so that community resources and onward referral can be maximised.</w:t>
      </w:r>
    </w:p>
    <w:p w14:paraId="5670350B" w14:textId="7DEE8E6C" w:rsidR="0029542D" w:rsidRPr="00631C1B" w:rsidRDefault="00457A4D" w:rsidP="0029542D">
      <w:pPr>
        <w:pStyle w:val="BodyText"/>
      </w:pPr>
      <w:r w:rsidRPr="00631C1B">
        <w:rPr>
          <w:u w:val="single"/>
        </w:rPr>
        <w:t>To</w:t>
      </w:r>
      <w:r w:rsidR="0029542D" w:rsidRPr="00631C1B">
        <w:rPr>
          <w:u w:val="single"/>
        </w:rPr>
        <w:t xml:space="preserve"> build </w:t>
      </w:r>
      <w:r w:rsidR="001920F8" w:rsidRPr="00631C1B">
        <w:rPr>
          <w:u w:val="single"/>
        </w:rPr>
        <w:t>young people</w:t>
      </w:r>
      <w:r w:rsidR="00BD632A" w:rsidRPr="00631C1B">
        <w:rPr>
          <w:u w:val="single"/>
        </w:rPr>
        <w:t>’</w:t>
      </w:r>
      <w:r w:rsidR="001920F8" w:rsidRPr="00631C1B">
        <w:rPr>
          <w:u w:val="single"/>
        </w:rPr>
        <w:t xml:space="preserve">s </w:t>
      </w:r>
      <w:r w:rsidR="0029542D" w:rsidRPr="00631C1B">
        <w:rPr>
          <w:u w:val="single"/>
        </w:rPr>
        <w:t xml:space="preserve">capacity and </w:t>
      </w:r>
      <w:r w:rsidR="001920F8" w:rsidRPr="00631C1B">
        <w:rPr>
          <w:u w:val="single"/>
        </w:rPr>
        <w:t>confidence</w:t>
      </w:r>
    </w:p>
    <w:p w14:paraId="29AFC39C" w14:textId="77777777" w:rsidR="0029542D" w:rsidRPr="00631C1B" w:rsidRDefault="0029542D" w:rsidP="0029542D">
      <w:pPr>
        <w:pStyle w:val="ListBullet"/>
      </w:pPr>
      <w:r w:rsidRPr="00631C1B">
        <w:t>Recognise that there is a logical sequence for ‘additional’ outcomes to be achieved; that confidence to participate in something new is often the first step for certain young people, and that further progress takes time and resources, particularly for the most vulnerable young people</w:t>
      </w:r>
    </w:p>
    <w:p w14:paraId="56EFFEA1" w14:textId="77777777" w:rsidR="0029542D" w:rsidRPr="00631C1B" w:rsidRDefault="0029542D" w:rsidP="0029542D">
      <w:pPr>
        <w:pStyle w:val="ListBullet"/>
      </w:pPr>
      <w:r w:rsidRPr="00631C1B">
        <w:t>Encourage a balance between retention of existing participants between quarters and years of delivery and engaging new participants in activities. This should also be flexible to community needs and project developments wherever possible.</w:t>
      </w:r>
    </w:p>
    <w:p w14:paraId="6A059D3C" w14:textId="77777777" w:rsidR="003E6D2B" w:rsidRPr="00631C1B" w:rsidRDefault="003E6D2B" w:rsidP="0029542D">
      <w:pPr>
        <w:pStyle w:val="BodyText"/>
        <w:rPr>
          <w:u w:val="single"/>
        </w:rPr>
      </w:pPr>
    </w:p>
    <w:p w14:paraId="38B9A315" w14:textId="77777777" w:rsidR="003E6D2B" w:rsidRPr="00631C1B" w:rsidRDefault="003E6D2B" w:rsidP="0029542D">
      <w:pPr>
        <w:pStyle w:val="BodyText"/>
        <w:rPr>
          <w:u w:val="single"/>
        </w:rPr>
      </w:pPr>
    </w:p>
    <w:p w14:paraId="67ACC748" w14:textId="44B2326C" w:rsidR="0029542D" w:rsidRPr="00631C1B" w:rsidRDefault="00457A4D" w:rsidP="0029542D">
      <w:pPr>
        <w:pStyle w:val="BodyText"/>
        <w:rPr>
          <w:u w:val="single"/>
        </w:rPr>
      </w:pPr>
      <w:r w:rsidRPr="00631C1B">
        <w:rPr>
          <w:u w:val="single"/>
        </w:rPr>
        <w:lastRenderedPageBreak/>
        <w:t>To</w:t>
      </w:r>
      <w:r w:rsidR="0029542D" w:rsidRPr="00631C1B">
        <w:rPr>
          <w:u w:val="single"/>
        </w:rPr>
        <w:t xml:space="preserve"> develop </w:t>
      </w:r>
      <w:r w:rsidR="001920F8" w:rsidRPr="00631C1B">
        <w:rPr>
          <w:u w:val="single"/>
        </w:rPr>
        <w:t>young people</w:t>
      </w:r>
      <w:r w:rsidR="00BD632A" w:rsidRPr="00631C1B">
        <w:rPr>
          <w:u w:val="single"/>
        </w:rPr>
        <w:t>’</w:t>
      </w:r>
      <w:r w:rsidR="001920F8" w:rsidRPr="00631C1B">
        <w:rPr>
          <w:u w:val="single"/>
        </w:rPr>
        <w:t xml:space="preserve">s </w:t>
      </w:r>
      <w:r w:rsidR="0029542D" w:rsidRPr="00631C1B">
        <w:rPr>
          <w:u w:val="single"/>
        </w:rPr>
        <w:t>physical and personal</w:t>
      </w:r>
      <w:r w:rsidR="001920F8" w:rsidRPr="00631C1B">
        <w:rPr>
          <w:u w:val="single"/>
        </w:rPr>
        <w:t xml:space="preserve"> skills</w:t>
      </w:r>
      <w:r w:rsidR="003E6D2B" w:rsidRPr="00631C1B">
        <w:rPr>
          <w:u w:val="single"/>
        </w:rPr>
        <w:t>:</w:t>
      </w:r>
    </w:p>
    <w:p w14:paraId="6A65F80F" w14:textId="77777777" w:rsidR="0029542D" w:rsidRPr="00631C1B" w:rsidRDefault="0029542D" w:rsidP="003E6D2B">
      <w:pPr>
        <w:pStyle w:val="ListBullet"/>
      </w:pPr>
      <w:r w:rsidRPr="00631C1B">
        <w:t>Consider asking organisations to scope in detail how they will resource accreditations throughout projects and signpost to any additional support available</w:t>
      </w:r>
    </w:p>
    <w:p w14:paraId="64EA4EA8" w14:textId="77777777" w:rsidR="0029542D" w:rsidRPr="00631C1B" w:rsidRDefault="0029542D" w:rsidP="003E6D2B">
      <w:pPr>
        <w:pStyle w:val="ListBullet"/>
      </w:pPr>
      <w:r w:rsidRPr="00631C1B">
        <w:t>Enable a flexible evaluation approach to be adopted by projects to better demonstrate skills development where accreditations are not deemed appropriate.</w:t>
      </w:r>
    </w:p>
    <w:p w14:paraId="0C21071E" w14:textId="0E9361A8" w:rsidR="0029542D" w:rsidRPr="00631C1B" w:rsidRDefault="0029542D" w:rsidP="0029542D">
      <w:pPr>
        <w:pStyle w:val="BodyText"/>
        <w:rPr>
          <w:u w:val="single"/>
        </w:rPr>
      </w:pPr>
      <w:r w:rsidRPr="00631C1B">
        <w:rPr>
          <w:u w:val="single"/>
        </w:rPr>
        <w:t>To have a positive change on</w:t>
      </w:r>
      <w:r w:rsidR="00457A4D" w:rsidRPr="00631C1B">
        <w:rPr>
          <w:u w:val="single"/>
        </w:rPr>
        <w:t xml:space="preserve"> young </w:t>
      </w:r>
      <w:r w:rsidR="001920F8" w:rsidRPr="00631C1B">
        <w:rPr>
          <w:u w:val="single"/>
        </w:rPr>
        <w:t>people’s</w:t>
      </w:r>
      <w:r w:rsidRPr="00631C1B">
        <w:rPr>
          <w:u w:val="single"/>
        </w:rPr>
        <w:t xml:space="preserve"> behaviour and aspiration</w:t>
      </w:r>
      <w:r w:rsidR="003E6D2B" w:rsidRPr="00631C1B">
        <w:rPr>
          <w:u w:val="single"/>
        </w:rPr>
        <w:t>:</w:t>
      </w:r>
    </w:p>
    <w:p w14:paraId="6A1AD187" w14:textId="77777777" w:rsidR="0029542D" w:rsidRPr="00631C1B" w:rsidRDefault="0029542D" w:rsidP="00275070">
      <w:pPr>
        <w:pStyle w:val="ListBullet"/>
      </w:pPr>
      <w:r w:rsidRPr="00631C1B">
        <w:t>Not all young people need to change their behaviour. Outcomes such as this should be critically, rather than universally applied, and a more inclusive approach taken to such ‘deficit’-focused outcomes</w:t>
      </w:r>
    </w:p>
    <w:p w14:paraId="6D4061D6" w14:textId="1C44B4B9" w:rsidR="0029542D" w:rsidRPr="00631C1B" w:rsidRDefault="0029542D" w:rsidP="0029542D">
      <w:pPr>
        <w:pStyle w:val="ListBullet"/>
      </w:pPr>
      <w:r w:rsidRPr="00631C1B">
        <w:t>Projects that were more successful in improving aspiration often worked with artists and cultural professionals as guest tutors or guest speakers to share what life is like in the sector. Working with professionals in parallel sectors (e.g. education, community development) can also demonstrate to participants how they can aspire to previously unconsidered careers.</w:t>
      </w:r>
    </w:p>
    <w:p w14:paraId="59F63505" w14:textId="158F5ADC" w:rsidR="0029542D" w:rsidRPr="00631C1B" w:rsidRDefault="0029542D" w:rsidP="0029542D">
      <w:pPr>
        <w:pStyle w:val="BodyText"/>
        <w:rPr>
          <w:u w:val="single"/>
        </w:rPr>
      </w:pPr>
      <w:r w:rsidRPr="00631C1B">
        <w:rPr>
          <w:u w:val="single"/>
        </w:rPr>
        <w:t>To improve</w:t>
      </w:r>
      <w:r w:rsidR="00B12870" w:rsidRPr="00631C1B">
        <w:rPr>
          <w:u w:val="single"/>
        </w:rPr>
        <w:t xml:space="preserve"> young people’s</w:t>
      </w:r>
      <w:r w:rsidRPr="00631C1B">
        <w:rPr>
          <w:u w:val="single"/>
        </w:rPr>
        <w:t xml:space="preserve"> wellbeing</w:t>
      </w:r>
    </w:p>
    <w:p w14:paraId="555CD868" w14:textId="77777777" w:rsidR="0029542D" w:rsidRPr="00631C1B" w:rsidRDefault="0029542D" w:rsidP="00275070">
      <w:pPr>
        <w:pStyle w:val="ListBullet"/>
      </w:pPr>
      <w:r w:rsidRPr="00631C1B">
        <w:t xml:space="preserve">Bespoke training or support should be provided to organisations expected to report against SHANARRI indicators. It should also be clarified whether an outcome being met is recorded against progress in one, a selection, or all indicators and over which timeframes (i.e. one session, one ‘term’, or longer) </w:t>
      </w:r>
    </w:p>
    <w:p w14:paraId="65E6F495" w14:textId="77777777" w:rsidR="0029542D" w:rsidRPr="00631C1B" w:rsidRDefault="0029542D" w:rsidP="00275070">
      <w:pPr>
        <w:pStyle w:val="ListBullet"/>
      </w:pPr>
      <w:r w:rsidRPr="00631C1B">
        <w:t>Projects found it easier to report wellbeing outcomes in relation to more physical activities (e.g. dance, movement, performance), further work should be done with projects to explore how environmental and psycho-social creative processes are linked to SHANARRI outcomes. There is a strong body of evidence linking creative practice with wellbeing, but many projects find it difficult to demonstrate these effects within the resources available.</w:t>
      </w:r>
    </w:p>
    <w:p w14:paraId="41575ACC" w14:textId="7FC32261" w:rsidR="0029542D" w:rsidRPr="00631C1B" w:rsidRDefault="0029542D" w:rsidP="0029542D">
      <w:pPr>
        <w:pStyle w:val="BodyText"/>
        <w:rPr>
          <w:u w:val="single"/>
        </w:rPr>
      </w:pPr>
      <w:r w:rsidRPr="00631C1B">
        <w:rPr>
          <w:u w:val="single"/>
        </w:rPr>
        <w:t xml:space="preserve">To improve </w:t>
      </w:r>
      <w:r w:rsidR="00822968" w:rsidRPr="00631C1B">
        <w:rPr>
          <w:u w:val="single"/>
        </w:rPr>
        <w:t xml:space="preserve">young people’s </w:t>
      </w:r>
      <w:r w:rsidRPr="00631C1B">
        <w:rPr>
          <w:u w:val="single"/>
        </w:rPr>
        <w:t>learning, employability and employment options</w:t>
      </w:r>
    </w:p>
    <w:p w14:paraId="4F432CC9" w14:textId="31D50630" w:rsidR="0029542D" w:rsidRPr="00631C1B" w:rsidRDefault="0029542D" w:rsidP="00275070">
      <w:pPr>
        <w:pStyle w:val="ListBullet"/>
      </w:pPr>
      <w:r w:rsidRPr="00631C1B">
        <w:t xml:space="preserve">The definition of ‘positive destinations’ is relatively broad and should be agreed with projects on a case-by-case basis. For young people who are </w:t>
      </w:r>
      <w:r w:rsidRPr="00631C1B">
        <w:t xml:space="preserve">excluded from school a positive destination is a reorientation to education (recognising the likely complex structural barriers to actual re-entry into education), for those who need support to apply to college or an apprenticeship another set of activities and support is required. For some participants the opportunity to stay and progress within a project is the most positive destination (or ‘location’). These will be largely context and cohort dependent, with flexibility of definition </w:t>
      </w:r>
      <w:r w:rsidR="00825AC3" w:rsidRPr="00631C1B">
        <w:t>necessary</w:t>
      </w:r>
    </w:p>
    <w:p w14:paraId="00665E06" w14:textId="05EFC729" w:rsidR="0029542D" w:rsidRPr="00631C1B" w:rsidRDefault="0029542D" w:rsidP="0029542D">
      <w:pPr>
        <w:pStyle w:val="ListBullet"/>
      </w:pPr>
      <w:r w:rsidRPr="00631C1B">
        <w:t xml:space="preserve">Well-established and mutual partnerships are often key to enabling ‘positive destinations’ external to project activity. It should be acknowledged in funding design and project planning that building and maintaining a range of appropriate partnerships will require time and resources. </w:t>
      </w:r>
    </w:p>
    <w:p w14:paraId="7231B17E" w14:textId="18E06090" w:rsidR="0029542D" w:rsidRPr="00631C1B" w:rsidRDefault="0029542D" w:rsidP="0029542D">
      <w:pPr>
        <w:pStyle w:val="BodyText"/>
        <w:rPr>
          <w:u w:val="single"/>
        </w:rPr>
      </w:pPr>
      <w:r w:rsidRPr="00631C1B">
        <w:rPr>
          <w:u w:val="single"/>
        </w:rPr>
        <w:t xml:space="preserve">For engaging young people in </w:t>
      </w:r>
      <w:r w:rsidR="00275070" w:rsidRPr="00631C1B">
        <w:rPr>
          <w:u w:val="single"/>
        </w:rPr>
        <w:t>positive</w:t>
      </w:r>
      <w:r w:rsidRPr="00631C1B">
        <w:rPr>
          <w:u w:val="single"/>
        </w:rPr>
        <w:t xml:space="preserve"> activity </w:t>
      </w:r>
    </w:p>
    <w:p w14:paraId="15BEF0E9" w14:textId="3CA93845" w:rsidR="0029542D" w:rsidRPr="00631C1B" w:rsidRDefault="0029542D" w:rsidP="0029542D">
      <w:pPr>
        <w:pStyle w:val="ListBullet"/>
      </w:pPr>
      <w:r w:rsidRPr="00631C1B">
        <w:t xml:space="preserve">Programme success will depend on getting people through the door and keeping them participating. It is important to offer a range of accessible activities, coupled with an offer of progression opportunities for those showing an interest. This will likely need to be adapted for different groups (e.g. age groups, level of experience, additional challenges faced) and requires flexible support from funders as a result.   </w:t>
      </w:r>
    </w:p>
    <w:p w14:paraId="592CCAAC" w14:textId="5B59CBE2" w:rsidR="0029542D" w:rsidRPr="00631C1B" w:rsidRDefault="0029542D" w:rsidP="0029542D">
      <w:pPr>
        <w:pStyle w:val="BodyText"/>
        <w:rPr>
          <w:u w:val="single"/>
        </w:rPr>
      </w:pPr>
      <w:r w:rsidRPr="00631C1B">
        <w:rPr>
          <w:u w:val="single"/>
        </w:rPr>
        <w:t xml:space="preserve">For future </w:t>
      </w:r>
      <w:r w:rsidR="00275070" w:rsidRPr="00631C1B">
        <w:rPr>
          <w:u w:val="single"/>
        </w:rPr>
        <w:t>evaluation</w:t>
      </w:r>
    </w:p>
    <w:p w14:paraId="266812E2" w14:textId="77777777" w:rsidR="0029542D" w:rsidRPr="00631C1B" w:rsidRDefault="0029542D" w:rsidP="00275070">
      <w:pPr>
        <w:pStyle w:val="ListBullet"/>
      </w:pPr>
      <w:r w:rsidRPr="00631C1B">
        <w:t>Many organisations in Phase 4 found the number of outcomes they were expected to report against difficult to manage, both in terms of programme design and monitoring and evaluation. An opportunity to select fewer, more specific and bespoke, outcomes against overarching programme impacts (set more generically) would be welcomed</w:t>
      </w:r>
    </w:p>
    <w:p w14:paraId="01A93F3F" w14:textId="6BA4BBC0" w:rsidR="0029542D" w:rsidRPr="00631C1B" w:rsidRDefault="0029542D" w:rsidP="00275070">
      <w:pPr>
        <w:pStyle w:val="ListBullet"/>
      </w:pPr>
      <w:r w:rsidRPr="00631C1B">
        <w:t xml:space="preserve">This could be complemented with more resource for evaluation support at the project level and budget setting in general (e.g. recommending funding for staff training and development in M&amp;E pre-delivery) </w:t>
      </w:r>
    </w:p>
    <w:p w14:paraId="54EC10E1" w14:textId="77777777" w:rsidR="0029542D" w:rsidRPr="00631C1B" w:rsidRDefault="0029542D" w:rsidP="00275070">
      <w:pPr>
        <w:pStyle w:val="ListBullet"/>
      </w:pPr>
      <w:r w:rsidRPr="00631C1B">
        <w:t xml:space="preserve">More flexibility in participant number targets would also be welcomed. Some projects reported that they recruited fewer participants because there was a greater appetite (and opportunity) for progression for existing participants. Others considered it a strong impact if they were able to unexpectedly attract </w:t>
      </w:r>
      <w:proofErr w:type="gramStart"/>
      <w:r w:rsidRPr="00631C1B">
        <w:lastRenderedPageBreak/>
        <w:t>a large number of</w:t>
      </w:r>
      <w:proofErr w:type="gramEnd"/>
      <w:r w:rsidRPr="00631C1B">
        <w:t xml:space="preserve"> young people to a new activity. Reconsidering how impact is defined (i.e. towards meaningful change and away from participant numbers) would also encourage a stronger culture of evaluation at all levels. Enabling projects to set ‘ceiling/floor margins’ for expected participant numbers could be considered</w:t>
      </w:r>
    </w:p>
    <w:p w14:paraId="7F505C08" w14:textId="10784EAA" w:rsidR="0029542D" w:rsidRPr="00631C1B" w:rsidRDefault="0029542D" w:rsidP="00275070">
      <w:pPr>
        <w:pStyle w:val="ListBullet"/>
      </w:pPr>
      <w:r w:rsidRPr="00631C1B">
        <w:t xml:space="preserve">Targeted Fund projects reported positive operational impacts from being brought together with others doing similar work for mutual learning, particularly when this could involve </w:t>
      </w:r>
      <w:r w:rsidR="00D62E69" w:rsidRPr="00631C1B">
        <w:t xml:space="preserve">both </w:t>
      </w:r>
      <w:r w:rsidRPr="00631C1B">
        <w:t>management and delivery staff. Understanding the mechanisms that lead to positive project impact in this way could be advanced using a ‘community of practice’ approach among organisations with similar professional interests (e.g. across sectors within localities, or across localities within sectors)</w:t>
      </w:r>
    </w:p>
    <w:p w14:paraId="058FC5A4" w14:textId="21E90135" w:rsidR="00CB0688" w:rsidRPr="00631C1B" w:rsidRDefault="0029542D" w:rsidP="00275070">
      <w:pPr>
        <w:pStyle w:val="ListBullet"/>
      </w:pPr>
      <w:r w:rsidRPr="00631C1B">
        <w:t>A tension was identified between generating positive news stories for promoting the ‘</w:t>
      </w:r>
      <w:proofErr w:type="spellStart"/>
      <w:r w:rsidRPr="00631C1B">
        <w:t>CashBack</w:t>
      </w:r>
      <w:proofErr w:type="spellEnd"/>
      <w:r w:rsidRPr="00631C1B">
        <w:t xml:space="preserve"> for Creativity’ brand and ability to report critical learning or negative impact. This should also be considered in programme marketing, communications and advocacy plans and expectations, and kept separate where</w:t>
      </w:r>
      <w:r w:rsidR="00D62E69" w:rsidRPr="00631C1B">
        <w:t>ver</w:t>
      </w:r>
      <w:r w:rsidRPr="00631C1B">
        <w:t xml:space="preserve"> possible.</w:t>
      </w:r>
    </w:p>
    <w:p w14:paraId="1CBF993A" w14:textId="20005DC7" w:rsidR="001E70CB" w:rsidRPr="00631C1B" w:rsidRDefault="001E0FAC" w:rsidP="003164F1">
      <w:pPr>
        <w:pStyle w:val="Heading1"/>
      </w:pPr>
      <w:bookmarkStart w:id="2" w:name="_Toc11092385"/>
      <w:bookmarkStart w:id="3" w:name="_Toc11092454"/>
      <w:bookmarkStart w:id="4" w:name="_Toc11092386"/>
      <w:bookmarkStart w:id="5" w:name="_Toc11092455"/>
      <w:bookmarkStart w:id="6" w:name="_Toc11092387"/>
      <w:bookmarkStart w:id="7" w:name="_Toc11092456"/>
      <w:bookmarkStart w:id="8" w:name="_Toc11092388"/>
      <w:bookmarkStart w:id="9" w:name="_Toc11092457"/>
      <w:bookmarkStart w:id="10" w:name="_Toc43980011"/>
      <w:bookmarkEnd w:id="2"/>
      <w:bookmarkEnd w:id="3"/>
      <w:bookmarkEnd w:id="4"/>
      <w:bookmarkEnd w:id="5"/>
      <w:bookmarkEnd w:id="6"/>
      <w:bookmarkEnd w:id="7"/>
      <w:bookmarkEnd w:id="8"/>
      <w:bookmarkEnd w:id="9"/>
      <w:r w:rsidRPr="00631C1B">
        <w:lastRenderedPageBreak/>
        <w:t>Background</w:t>
      </w:r>
      <w:bookmarkEnd w:id="10"/>
    </w:p>
    <w:p w14:paraId="7D661424" w14:textId="07A51A61" w:rsidR="003164F1" w:rsidRPr="00631C1B" w:rsidRDefault="00281FAF" w:rsidP="006B7365">
      <w:pPr>
        <w:pStyle w:val="Heading2"/>
      </w:pPr>
      <w:bookmarkStart w:id="11" w:name="_Toc43980012"/>
      <w:proofErr w:type="spellStart"/>
      <w:r w:rsidRPr="00631C1B">
        <w:t>CashBack</w:t>
      </w:r>
      <w:proofErr w:type="spellEnd"/>
      <w:r w:rsidR="001E0FAC" w:rsidRPr="00631C1B">
        <w:t xml:space="preserve"> for Creativity</w:t>
      </w:r>
      <w:bookmarkEnd w:id="11"/>
    </w:p>
    <w:p w14:paraId="6C0F43EF" w14:textId="06E7B949" w:rsidR="00DF3C7F" w:rsidRPr="00631C1B" w:rsidRDefault="00281FAF" w:rsidP="00DF3C7F">
      <w:pPr>
        <w:pStyle w:val="BodyText"/>
      </w:pPr>
      <w:proofErr w:type="spellStart"/>
      <w:r w:rsidRPr="00631C1B">
        <w:t>CashBack</w:t>
      </w:r>
      <w:proofErr w:type="spellEnd"/>
      <w:r w:rsidR="00DF3C7F" w:rsidRPr="00631C1B">
        <w:t xml:space="preserve"> for Creativity Phase 4</w:t>
      </w:r>
      <w:r w:rsidR="001D20C7" w:rsidRPr="00631C1B">
        <w:t xml:space="preserve"> ran from</w:t>
      </w:r>
      <w:r w:rsidR="00D86B62" w:rsidRPr="00631C1B">
        <w:t xml:space="preserve"> mid-2017</w:t>
      </w:r>
      <w:r w:rsidR="001D20C7" w:rsidRPr="00631C1B">
        <w:t xml:space="preserve"> to </w:t>
      </w:r>
      <w:r w:rsidR="00E61E36" w:rsidRPr="00631C1B">
        <w:t>March</w:t>
      </w:r>
      <w:r w:rsidR="00D86B62" w:rsidRPr="00631C1B">
        <w:t xml:space="preserve"> </w:t>
      </w:r>
      <w:r w:rsidR="001D20C7" w:rsidRPr="00631C1B">
        <w:t>20</w:t>
      </w:r>
      <w:r w:rsidR="00DF3C7F" w:rsidRPr="00631C1B">
        <w:t>20</w:t>
      </w:r>
      <w:r w:rsidR="001D20C7" w:rsidRPr="00631C1B">
        <w:t>.</w:t>
      </w:r>
      <w:r w:rsidR="00DF3C7F" w:rsidRPr="00631C1B">
        <w:t xml:space="preserve"> </w:t>
      </w:r>
      <w:r w:rsidR="001D20C7" w:rsidRPr="00631C1B">
        <w:t xml:space="preserve">It </w:t>
      </w:r>
      <w:r w:rsidR="00DF3C7F" w:rsidRPr="00631C1B">
        <w:t>offer</w:t>
      </w:r>
      <w:r w:rsidR="001D20C7" w:rsidRPr="00631C1B">
        <w:t>ed</w:t>
      </w:r>
      <w:r w:rsidR="00DF3C7F" w:rsidRPr="00631C1B">
        <w:t xml:space="preserve"> young people</w:t>
      </w:r>
      <w:r w:rsidR="00366182" w:rsidRPr="00631C1B">
        <w:t>,</w:t>
      </w:r>
      <w:r w:rsidR="00DF3C7F" w:rsidRPr="00631C1B">
        <w:t xml:space="preserve"> </w:t>
      </w:r>
      <w:r w:rsidR="00366182" w:rsidRPr="00631C1B">
        <w:t xml:space="preserve">aged </w:t>
      </w:r>
      <w:r w:rsidR="00DF3C7F" w:rsidRPr="00631C1B">
        <w:t>10 - 24 year</w:t>
      </w:r>
      <w:r w:rsidR="00366182" w:rsidRPr="00631C1B">
        <w:t>s,</w:t>
      </w:r>
      <w:r w:rsidR="00DF3C7F" w:rsidRPr="00631C1B">
        <w:t xml:space="preserve"> across Scotland the opportunity to engage in creative and cultural activity. Funded by the Scottish Government’s </w:t>
      </w:r>
      <w:proofErr w:type="spellStart"/>
      <w:r w:rsidRPr="00631C1B">
        <w:t>CashBack</w:t>
      </w:r>
      <w:proofErr w:type="spellEnd"/>
      <w:r w:rsidR="00DF3C7F" w:rsidRPr="00631C1B">
        <w:t xml:space="preserve"> for Communities programme, it provide</w:t>
      </w:r>
      <w:r w:rsidR="00366182" w:rsidRPr="00631C1B">
        <w:t>d</w:t>
      </w:r>
      <w:r w:rsidR="00DF3C7F" w:rsidRPr="00631C1B">
        <w:t xml:space="preserve"> high quality learning and developmental activities across all art forms. </w:t>
      </w:r>
    </w:p>
    <w:p w14:paraId="20AE22B5" w14:textId="01C1F7D6" w:rsidR="00DF3C7F" w:rsidRPr="00631C1B" w:rsidRDefault="00DF3C7F" w:rsidP="00DF3C7F">
      <w:pPr>
        <w:pStyle w:val="BodyText"/>
      </w:pPr>
      <w:r w:rsidRPr="00631C1B">
        <w:t>The key focus areas for the programme include</w:t>
      </w:r>
      <w:r w:rsidR="006F1023" w:rsidRPr="00631C1B">
        <w:t>d</w:t>
      </w:r>
      <w:r w:rsidRPr="00631C1B">
        <w:t xml:space="preserve"> improving the skills and confidence of young people, raising attainment and aspirations, and providing pathways for further learning, training, education </w:t>
      </w:r>
      <w:r w:rsidR="00BF02DC" w:rsidRPr="00631C1B">
        <w:t>a</w:t>
      </w:r>
      <w:r w:rsidRPr="00631C1B">
        <w:t xml:space="preserve">nd employment. </w:t>
      </w:r>
    </w:p>
    <w:p w14:paraId="53764F65" w14:textId="02408F31" w:rsidR="00DF3C7F" w:rsidRPr="00631C1B" w:rsidRDefault="00DF3C7F" w:rsidP="00DF3C7F">
      <w:pPr>
        <w:pStyle w:val="BodyText"/>
      </w:pPr>
      <w:r w:rsidRPr="00631C1B">
        <w:t>The programme operate</w:t>
      </w:r>
      <w:r w:rsidR="006F1023" w:rsidRPr="00631C1B">
        <w:t>d</w:t>
      </w:r>
      <w:r w:rsidRPr="00631C1B">
        <w:t xml:space="preserve"> across two funds: </w:t>
      </w:r>
    </w:p>
    <w:p w14:paraId="7CD0C721" w14:textId="4FB2F8B6" w:rsidR="00DF3C7F" w:rsidRPr="00631C1B" w:rsidRDefault="00DF3C7F" w:rsidP="00DF3C7F">
      <w:pPr>
        <w:pStyle w:val="ListBullet"/>
      </w:pPr>
      <w:r w:rsidRPr="00631C1B">
        <w:rPr>
          <w:b/>
          <w:bCs/>
        </w:rPr>
        <w:t xml:space="preserve">The </w:t>
      </w:r>
      <w:proofErr w:type="spellStart"/>
      <w:r w:rsidR="00281FAF" w:rsidRPr="00631C1B">
        <w:rPr>
          <w:b/>
          <w:bCs/>
        </w:rPr>
        <w:t>CashBack</w:t>
      </w:r>
      <w:proofErr w:type="spellEnd"/>
      <w:r w:rsidRPr="00631C1B">
        <w:rPr>
          <w:b/>
          <w:bCs/>
        </w:rPr>
        <w:t xml:space="preserve"> for Creativity Open Fund (£750k over three years) </w:t>
      </w:r>
      <w:r w:rsidR="00A53963" w:rsidRPr="00631C1B">
        <w:t>–</w:t>
      </w:r>
      <w:r w:rsidRPr="00631C1B">
        <w:t xml:space="preserve"> </w:t>
      </w:r>
      <w:r w:rsidR="00A53963" w:rsidRPr="00631C1B">
        <w:t xml:space="preserve">to </w:t>
      </w:r>
      <w:r w:rsidRPr="00631C1B">
        <w:t>create opportunities for a range of organisations, working in collaboration with artists and practitioners across the country. Applicants c</w:t>
      </w:r>
      <w:r w:rsidR="00A53963" w:rsidRPr="00631C1B">
        <w:t>ould</w:t>
      </w:r>
      <w:r w:rsidRPr="00631C1B">
        <w:t xml:space="preserve"> apply for funding of up to £10k to deliver high quality arts activities for up to 12 months</w:t>
      </w:r>
      <w:r w:rsidR="00C94AD8" w:rsidRPr="00631C1B">
        <w:t>.</w:t>
      </w:r>
      <w:r w:rsidRPr="00631C1B">
        <w:t xml:space="preserve"> This fund </w:t>
      </w:r>
      <w:r w:rsidR="00A53963" w:rsidRPr="00631C1B">
        <w:t xml:space="preserve">was </w:t>
      </w:r>
      <w:r w:rsidRPr="00631C1B">
        <w:t xml:space="preserve">administered by </w:t>
      </w:r>
      <w:proofErr w:type="spellStart"/>
      <w:r w:rsidRPr="00631C1B">
        <w:t>Youthlink</w:t>
      </w:r>
      <w:proofErr w:type="spellEnd"/>
      <w:r w:rsidRPr="00631C1B">
        <w:t xml:space="preserve"> Scotland</w:t>
      </w:r>
      <w:r w:rsidR="00136505" w:rsidRPr="00631C1B">
        <w:t>.</w:t>
      </w:r>
      <w:r w:rsidR="002B36E6" w:rsidRPr="00631C1B">
        <w:t xml:space="preserve"> In </w:t>
      </w:r>
      <w:r w:rsidR="00A53963" w:rsidRPr="00631C1B">
        <w:t>Y</w:t>
      </w:r>
      <w:r w:rsidR="002B36E6" w:rsidRPr="00631C1B">
        <w:t xml:space="preserve">ear </w:t>
      </w:r>
      <w:r w:rsidR="00A53963" w:rsidRPr="00631C1B">
        <w:t>3</w:t>
      </w:r>
      <w:r w:rsidR="002B36E6" w:rsidRPr="00631C1B">
        <w:t xml:space="preserve">, a total of </w:t>
      </w:r>
      <w:r w:rsidR="00A53963" w:rsidRPr="00631C1B">
        <w:t>45</w:t>
      </w:r>
      <w:r w:rsidR="002B36E6" w:rsidRPr="00631C1B">
        <w:t xml:space="preserve"> organisations were provided funding </w:t>
      </w:r>
      <w:r w:rsidR="00D41373" w:rsidRPr="00631C1B">
        <w:t>(f</w:t>
      </w:r>
      <w:r w:rsidR="002B36E6" w:rsidRPr="00631C1B">
        <w:t>ull breakdown in Appendi</w:t>
      </w:r>
      <w:r w:rsidR="00D41373" w:rsidRPr="00631C1B">
        <w:t>x</w:t>
      </w:r>
      <w:r w:rsidR="006A1BC4" w:rsidRPr="00631C1B">
        <w:t>)</w:t>
      </w:r>
    </w:p>
    <w:p w14:paraId="70743D56" w14:textId="325991BC" w:rsidR="00DF3C7F" w:rsidRPr="00631C1B" w:rsidRDefault="00DF3C7F" w:rsidP="00DF3C7F">
      <w:pPr>
        <w:pStyle w:val="ListBullet"/>
      </w:pPr>
      <w:r w:rsidRPr="00631C1B">
        <w:rPr>
          <w:b/>
          <w:bCs/>
        </w:rPr>
        <w:t xml:space="preserve">The </w:t>
      </w:r>
      <w:proofErr w:type="spellStart"/>
      <w:r w:rsidR="00281FAF" w:rsidRPr="00631C1B">
        <w:rPr>
          <w:b/>
          <w:bCs/>
        </w:rPr>
        <w:t>CashBack</w:t>
      </w:r>
      <w:proofErr w:type="spellEnd"/>
      <w:r w:rsidRPr="00631C1B">
        <w:rPr>
          <w:b/>
          <w:bCs/>
        </w:rPr>
        <w:t xml:space="preserve"> for Creativity Targeted Fund (£1.5m over three years)</w:t>
      </w:r>
      <w:r w:rsidR="00D86B62" w:rsidRPr="00631C1B">
        <w:rPr>
          <w:b/>
          <w:bCs/>
        </w:rPr>
        <w:t xml:space="preserve"> - </w:t>
      </w:r>
      <w:r w:rsidRPr="00631C1B">
        <w:t xml:space="preserve">a programme of engagement, learning, development and progression activities for targeted young people. </w:t>
      </w:r>
      <w:r w:rsidR="00343FB1" w:rsidRPr="00631C1B">
        <w:t xml:space="preserve">In </w:t>
      </w:r>
      <w:r w:rsidR="00D86B62" w:rsidRPr="00631C1B">
        <w:t>Y</w:t>
      </w:r>
      <w:r w:rsidR="00343FB1" w:rsidRPr="00631C1B">
        <w:t xml:space="preserve">ear </w:t>
      </w:r>
      <w:r w:rsidR="00373986" w:rsidRPr="00631C1B">
        <w:t>3</w:t>
      </w:r>
      <w:r w:rsidR="00343FB1" w:rsidRPr="00631C1B">
        <w:t xml:space="preserve">, </w:t>
      </w:r>
      <w:r w:rsidR="001C55CD" w:rsidRPr="00631C1B">
        <w:t>t</w:t>
      </w:r>
      <w:r w:rsidRPr="00631C1B">
        <w:t xml:space="preserve">he Fund </w:t>
      </w:r>
      <w:r w:rsidR="001C55CD" w:rsidRPr="00631C1B">
        <w:t>was</w:t>
      </w:r>
      <w:r w:rsidRPr="00631C1B">
        <w:t xml:space="preserve"> delivered through </w:t>
      </w:r>
      <w:r w:rsidR="00343FB1" w:rsidRPr="00631C1B">
        <w:t>15</w:t>
      </w:r>
      <w:r w:rsidRPr="00631C1B">
        <w:t xml:space="preserve"> organisations</w:t>
      </w:r>
      <w:r w:rsidR="00706EDC" w:rsidRPr="00631C1B">
        <w:t xml:space="preserve"> across a broad </w:t>
      </w:r>
      <w:r w:rsidRPr="00631C1B">
        <w:t>portfolio of projects and programmes</w:t>
      </w:r>
      <w:r w:rsidR="00A83804" w:rsidRPr="00631C1B">
        <w:t xml:space="preserve">. </w:t>
      </w:r>
      <w:r w:rsidRPr="00631C1B">
        <w:t xml:space="preserve">These organisations could apply for up to £120k </w:t>
      </w:r>
      <w:r w:rsidR="00CA2E8E" w:rsidRPr="00631C1B">
        <w:t xml:space="preserve">over three years </w:t>
      </w:r>
      <w:r w:rsidRPr="00631C1B">
        <w:t>from 2017</w:t>
      </w:r>
      <w:r w:rsidR="00396E51" w:rsidRPr="00631C1B">
        <w:t xml:space="preserve"> to 2020</w:t>
      </w:r>
      <w:r w:rsidR="00813FBB" w:rsidRPr="00631C1B">
        <w:t xml:space="preserve"> (full breakdown in Appendix</w:t>
      </w:r>
      <w:r w:rsidR="006A1BC4" w:rsidRPr="00631C1B">
        <w:t>)</w:t>
      </w:r>
      <w:r w:rsidR="00D86B62" w:rsidRPr="00631C1B">
        <w:t>.</w:t>
      </w:r>
    </w:p>
    <w:p w14:paraId="7B6D4396" w14:textId="77777777" w:rsidR="00150CB7" w:rsidRPr="00631C1B" w:rsidRDefault="00150CB7" w:rsidP="00150CB7">
      <w:pPr>
        <w:pStyle w:val="ListBullet"/>
        <w:numPr>
          <w:ilvl w:val="0"/>
          <w:numId w:val="0"/>
        </w:numPr>
        <w:ind w:left="284" w:hanging="284"/>
      </w:pPr>
    </w:p>
    <w:p w14:paraId="7F957EC2" w14:textId="77777777" w:rsidR="00D86B62" w:rsidRPr="00631C1B" w:rsidRDefault="00D86B62" w:rsidP="00D86B62">
      <w:pPr>
        <w:pStyle w:val="ListBullet"/>
        <w:numPr>
          <w:ilvl w:val="0"/>
          <w:numId w:val="0"/>
        </w:numPr>
        <w:ind w:left="284"/>
      </w:pPr>
    </w:p>
    <w:p w14:paraId="455A9330" w14:textId="32E088E3" w:rsidR="006B7365" w:rsidRPr="00631C1B" w:rsidRDefault="001E0FAC" w:rsidP="006B7365">
      <w:pPr>
        <w:pStyle w:val="Heading2"/>
      </w:pPr>
      <w:bookmarkStart w:id="12" w:name="_Toc43980013"/>
      <w:r w:rsidRPr="00631C1B">
        <w:t xml:space="preserve">Evaluation approach and </w:t>
      </w:r>
      <w:proofErr w:type="spellStart"/>
      <w:r w:rsidR="00281FAF" w:rsidRPr="00631C1B">
        <w:t>CashBack</w:t>
      </w:r>
      <w:proofErr w:type="spellEnd"/>
      <w:r w:rsidRPr="00631C1B">
        <w:t xml:space="preserve"> for Creativity</w:t>
      </w:r>
      <w:bookmarkEnd w:id="12"/>
      <w:r w:rsidRPr="00631C1B">
        <w:t xml:space="preserve"> </w:t>
      </w:r>
    </w:p>
    <w:p w14:paraId="74DCA9FC" w14:textId="1A7BE16A" w:rsidR="00DF3C7F" w:rsidRPr="00631C1B" w:rsidRDefault="00DF3C7F" w:rsidP="00DF3C7F">
      <w:pPr>
        <w:pStyle w:val="BodyText"/>
      </w:pPr>
      <w:r w:rsidRPr="00631C1B">
        <w:t xml:space="preserve">In June 2017, BOP Consulting was commissioned by Creative Scotland to evaluate Phase 4 of the </w:t>
      </w:r>
      <w:proofErr w:type="spellStart"/>
      <w:r w:rsidR="00281FAF" w:rsidRPr="00631C1B">
        <w:t>CashBack</w:t>
      </w:r>
      <w:proofErr w:type="spellEnd"/>
      <w:r w:rsidRPr="00631C1B">
        <w:t xml:space="preserve"> for Creativity programme. Extending over both the Open Fund and the Targeted Fund, the </w:t>
      </w:r>
      <w:r w:rsidR="00F03EBB" w:rsidRPr="00631C1B">
        <w:t>Y</w:t>
      </w:r>
      <w:r w:rsidRPr="00631C1B">
        <w:t xml:space="preserve">ear </w:t>
      </w:r>
      <w:r w:rsidR="006D6D82" w:rsidRPr="00631C1B">
        <w:t>Three</w:t>
      </w:r>
      <w:r w:rsidRPr="00631C1B">
        <w:t xml:space="preserve"> evaluation</w:t>
      </w:r>
      <w:r w:rsidR="00F03EBB" w:rsidRPr="00631C1B">
        <w:t xml:space="preserve"> built from the </w:t>
      </w:r>
      <w:r w:rsidRPr="00631C1B">
        <w:t>method</w:t>
      </w:r>
      <w:r w:rsidR="00F03EBB" w:rsidRPr="00631C1B">
        <w:t>ological approach from</w:t>
      </w:r>
      <w:r w:rsidR="0084576F" w:rsidRPr="00631C1B">
        <w:t xml:space="preserve"> </w:t>
      </w:r>
      <w:r w:rsidR="00F03EBB" w:rsidRPr="00631C1B">
        <w:t>Y</w:t>
      </w:r>
      <w:r w:rsidR="0084576F" w:rsidRPr="00631C1B">
        <w:t>ear</w:t>
      </w:r>
      <w:r w:rsidR="00C36D8E" w:rsidRPr="00631C1B">
        <w:t xml:space="preserve"> One and </w:t>
      </w:r>
      <w:r w:rsidR="00AF16FD" w:rsidRPr="00631C1B">
        <w:t xml:space="preserve">Year </w:t>
      </w:r>
      <w:r w:rsidR="00C36D8E" w:rsidRPr="00631C1B">
        <w:t>Two</w:t>
      </w:r>
      <w:r w:rsidR="00B26E7D" w:rsidRPr="00631C1B">
        <w:t>. T</w:t>
      </w:r>
      <w:r w:rsidR="00F03EBB" w:rsidRPr="00631C1B">
        <w:t>his included:</w:t>
      </w:r>
    </w:p>
    <w:p w14:paraId="0A2A5309" w14:textId="4AC84FD9" w:rsidR="00DF3C7F" w:rsidRPr="00631C1B" w:rsidRDefault="00D31DBF" w:rsidP="00DF3C7F">
      <w:pPr>
        <w:pStyle w:val="ListBullet"/>
      </w:pPr>
      <w:r w:rsidRPr="00631C1B">
        <w:t>Evaluation dissemination</w:t>
      </w:r>
      <w:r w:rsidR="00DF3C7F" w:rsidRPr="00631C1B">
        <w:t xml:space="preserve"> and data gathering at </w:t>
      </w:r>
      <w:r w:rsidR="00D44144" w:rsidRPr="00631C1B">
        <w:t>a</w:t>
      </w:r>
      <w:r w:rsidR="00DF3C7F" w:rsidRPr="00631C1B">
        <w:t xml:space="preserve"> learning event</w:t>
      </w:r>
      <w:r w:rsidR="00D44144" w:rsidRPr="00631C1B">
        <w:t xml:space="preserve"> </w:t>
      </w:r>
      <w:r w:rsidR="00DF3C7F" w:rsidRPr="00631C1B">
        <w:t xml:space="preserve">in </w:t>
      </w:r>
      <w:r w:rsidR="00A10A11" w:rsidRPr="00631C1B">
        <w:t>September</w:t>
      </w:r>
      <w:r w:rsidR="006C7886" w:rsidRPr="00631C1B">
        <w:t xml:space="preserve"> 201</w:t>
      </w:r>
      <w:r w:rsidR="00807044" w:rsidRPr="00631C1B">
        <w:t>9</w:t>
      </w:r>
      <w:r w:rsidR="0084576F" w:rsidRPr="00631C1B">
        <w:t xml:space="preserve"> in </w:t>
      </w:r>
      <w:r w:rsidR="00807044" w:rsidRPr="00631C1B">
        <w:t xml:space="preserve">Edinburgh </w:t>
      </w:r>
      <w:r w:rsidR="00DF3C7F" w:rsidRPr="00631C1B">
        <w:t xml:space="preserve"> </w:t>
      </w:r>
    </w:p>
    <w:p w14:paraId="14C0285C" w14:textId="639A1098" w:rsidR="00DF3C7F" w:rsidRPr="00631C1B" w:rsidRDefault="00DF3C7F" w:rsidP="00DF3C7F">
      <w:pPr>
        <w:pStyle w:val="ListBullet"/>
      </w:pPr>
      <w:r w:rsidRPr="00631C1B">
        <w:t xml:space="preserve">In-depth ‘case study’ visits to </w:t>
      </w:r>
      <w:r w:rsidR="00A10A11" w:rsidRPr="00631C1B">
        <w:t>three</w:t>
      </w:r>
      <w:r w:rsidR="0084576F" w:rsidRPr="00631C1B">
        <w:t xml:space="preserve"> </w:t>
      </w:r>
      <w:r w:rsidRPr="00631C1B">
        <w:t xml:space="preserve">organisations in Year </w:t>
      </w:r>
      <w:r w:rsidR="00A10A11" w:rsidRPr="00631C1B">
        <w:t>3</w:t>
      </w:r>
      <w:r w:rsidRPr="00631C1B">
        <w:t xml:space="preserve"> (</w:t>
      </w:r>
      <w:r w:rsidR="00A10A11" w:rsidRPr="00631C1B">
        <w:t>Firefly, YTAS</w:t>
      </w:r>
      <w:r w:rsidR="00C36D8E" w:rsidRPr="00631C1B">
        <w:t xml:space="preserve"> and </w:t>
      </w:r>
      <w:proofErr w:type="spellStart"/>
      <w:r w:rsidR="00C36D8E" w:rsidRPr="00631C1B">
        <w:t>Macrobert</w:t>
      </w:r>
      <w:proofErr w:type="spellEnd"/>
      <w:r w:rsidR="00C36D8E" w:rsidRPr="00631C1B">
        <w:t xml:space="preserve"> Arts Centre)</w:t>
      </w:r>
    </w:p>
    <w:p w14:paraId="2AD90BB8" w14:textId="25B1E477" w:rsidR="00DF3C7F" w:rsidRPr="00631C1B" w:rsidRDefault="00DF3C7F" w:rsidP="00DF3C7F">
      <w:pPr>
        <w:pStyle w:val="ListBullet"/>
      </w:pPr>
      <w:r w:rsidRPr="00631C1B">
        <w:t>Review of all submitted end of year/end of project report forms and supporting evidence (Open and Targeted Funds)</w:t>
      </w:r>
      <w:r w:rsidR="00C36D8E" w:rsidRPr="00631C1B">
        <w:t>.</w:t>
      </w:r>
    </w:p>
    <w:p w14:paraId="35F0868C" w14:textId="6ADF01D1" w:rsidR="00DF3C7F" w:rsidRPr="00631C1B" w:rsidRDefault="00DF3C7F" w:rsidP="00DF3C7F">
      <w:pPr>
        <w:pStyle w:val="BodyText"/>
      </w:pPr>
      <w:r w:rsidRPr="00631C1B">
        <w:t xml:space="preserve">The overall </w:t>
      </w:r>
      <w:proofErr w:type="spellStart"/>
      <w:r w:rsidR="00281FAF" w:rsidRPr="00631C1B">
        <w:t>CashBack</w:t>
      </w:r>
      <w:proofErr w:type="spellEnd"/>
      <w:r w:rsidR="006D07B6" w:rsidRPr="00631C1B">
        <w:t xml:space="preserve"> for Communities</w:t>
      </w:r>
      <w:r w:rsidRPr="00631C1B">
        <w:t xml:space="preserve"> programme outcomes framework outlines </w:t>
      </w:r>
      <w:r w:rsidR="00DE5767" w:rsidRPr="00631C1B">
        <w:t>several</w:t>
      </w:r>
      <w:r w:rsidRPr="00631C1B">
        <w:t xml:space="preserve"> outcomes for projects to work towards (set by the Scottish Government). Those selected as most relevant for, and therefore guiding the intended impact for the projects funded in </w:t>
      </w:r>
      <w:proofErr w:type="spellStart"/>
      <w:r w:rsidR="00281FAF" w:rsidRPr="00631C1B">
        <w:t>CashBack</w:t>
      </w:r>
      <w:proofErr w:type="spellEnd"/>
      <w:r w:rsidRPr="00631C1B">
        <w:t xml:space="preserve"> for Creativity are: </w:t>
      </w:r>
    </w:p>
    <w:p w14:paraId="6766670C" w14:textId="6D512F22" w:rsidR="00DF3C7F" w:rsidRPr="00631C1B" w:rsidRDefault="00DF3C7F" w:rsidP="00DF3C7F">
      <w:pPr>
        <w:pStyle w:val="ListBullet"/>
      </w:pPr>
      <w:r w:rsidRPr="00631C1B">
        <w:t xml:space="preserve">Building capacity and confidence </w:t>
      </w:r>
    </w:p>
    <w:p w14:paraId="5E8C2E6B" w14:textId="71716979" w:rsidR="00DF3C7F" w:rsidRPr="00631C1B" w:rsidRDefault="00DF3C7F" w:rsidP="00DF3C7F">
      <w:pPr>
        <w:pStyle w:val="ListBullet"/>
      </w:pPr>
      <w:r w:rsidRPr="00631C1B">
        <w:t xml:space="preserve">Developing physical and personal skills </w:t>
      </w:r>
    </w:p>
    <w:p w14:paraId="42DDB0C3" w14:textId="37F0625D" w:rsidR="00DF3C7F" w:rsidRPr="00631C1B" w:rsidRDefault="00DF3C7F" w:rsidP="00DF3C7F">
      <w:pPr>
        <w:pStyle w:val="ListBullet"/>
      </w:pPr>
      <w:r w:rsidRPr="00631C1B">
        <w:t xml:space="preserve">Having a positive change on behaviour and aspiration </w:t>
      </w:r>
    </w:p>
    <w:p w14:paraId="4DD30646" w14:textId="6F28EA2A" w:rsidR="00DF3C7F" w:rsidRPr="00631C1B" w:rsidRDefault="00DF3C7F" w:rsidP="00DF3C7F">
      <w:pPr>
        <w:pStyle w:val="ListBullet"/>
      </w:pPr>
      <w:r w:rsidRPr="00631C1B">
        <w:t xml:space="preserve">Improving wellbeing </w:t>
      </w:r>
    </w:p>
    <w:p w14:paraId="3B50C3BE" w14:textId="75783F19" w:rsidR="00DF3C7F" w:rsidRPr="00631C1B" w:rsidRDefault="00DF3C7F" w:rsidP="00DF3C7F">
      <w:pPr>
        <w:pStyle w:val="ListBullet"/>
      </w:pPr>
      <w:r w:rsidRPr="00631C1B">
        <w:t xml:space="preserve">Improving learning, employability and employment options </w:t>
      </w:r>
      <w:r w:rsidR="00157A57" w:rsidRPr="00631C1B">
        <w:t xml:space="preserve">(positive destinations) </w:t>
      </w:r>
      <w:r w:rsidRPr="00631C1B">
        <w:t xml:space="preserve">(Targeted Fund only) </w:t>
      </w:r>
    </w:p>
    <w:p w14:paraId="24721303" w14:textId="60C8522A" w:rsidR="00DF3C7F" w:rsidRPr="00631C1B" w:rsidRDefault="00DF3C7F" w:rsidP="00DF3C7F">
      <w:pPr>
        <w:pStyle w:val="ListBullet"/>
      </w:pPr>
      <w:r w:rsidRPr="00631C1B">
        <w:t xml:space="preserve">Participating in positive activity </w:t>
      </w:r>
    </w:p>
    <w:p w14:paraId="47501C67" w14:textId="5D4ECA76" w:rsidR="00DF3C7F" w:rsidRPr="00631C1B" w:rsidRDefault="00DF3C7F" w:rsidP="00DF3C7F">
      <w:pPr>
        <w:pStyle w:val="ListBullet"/>
      </w:pPr>
      <w:r w:rsidRPr="00631C1B">
        <w:t xml:space="preserve">Contributing positively to their communities (Open Fund only) </w:t>
      </w:r>
    </w:p>
    <w:p w14:paraId="675E6BBD" w14:textId="3D0B4886" w:rsidR="00DF3C7F" w:rsidRPr="00631C1B" w:rsidRDefault="00DF3C7F" w:rsidP="00DF3C7F">
      <w:pPr>
        <w:pStyle w:val="BodyText"/>
      </w:pPr>
      <w:r w:rsidRPr="00631C1B">
        <w:t xml:space="preserve">By considering each outcome area in turn, as well as the overall impact of the programme on the organisations themselves and the communities they operated in, this </w:t>
      </w:r>
      <w:r w:rsidR="003B3536" w:rsidRPr="00631C1B">
        <w:t xml:space="preserve">combined Year 3 and Summative </w:t>
      </w:r>
      <w:r w:rsidRPr="00631C1B">
        <w:t xml:space="preserve">report looks to both critically </w:t>
      </w:r>
      <w:r w:rsidRPr="00631C1B">
        <w:lastRenderedPageBreak/>
        <w:t>review progress</w:t>
      </w:r>
      <w:r w:rsidR="003B3536" w:rsidRPr="00631C1B">
        <w:t>,</w:t>
      </w:r>
      <w:r w:rsidRPr="00631C1B">
        <w:t xml:space="preserve"> but also understand lessons</w:t>
      </w:r>
      <w:r w:rsidR="003B3536" w:rsidRPr="00631C1B">
        <w:t xml:space="preserve"> learnt,</w:t>
      </w:r>
      <w:r w:rsidR="00F54ED2" w:rsidRPr="00631C1B">
        <w:t xml:space="preserve"> as well</w:t>
      </w:r>
      <w:r w:rsidR="00460E14" w:rsidRPr="00631C1B">
        <w:t xml:space="preserve"> as organisational and civic</w:t>
      </w:r>
      <w:r w:rsidR="003B3536" w:rsidRPr="00631C1B">
        <w:t xml:space="preserve"> impact</w:t>
      </w:r>
      <w:r w:rsidR="00460E14" w:rsidRPr="00631C1B">
        <w:t>s</w:t>
      </w:r>
      <w:r w:rsidR="003B3536" w:rsidRPr="00631C1B">
        <w:t>.</w:t>
      </w:r>
    </w:p>
    <w:p w14:paraId="176A4089" w14:textId="2B94D3B2" w:rsidR="00853EEC" w:rsidRPr="00631C1B" w:rsidRDefault="00853EEC" w:rsidP="00853EEC">
      <w:pPr>
        <w:pStyle w:val="Heading2"/>
      </w:pPr>
      <w:bookmarkStart w:id="13" w:name="_Toc43980014"/>
      <w:r w:rsidRPr="00631C1B">
        <w:t>Interpretation of evaluation findings</w:t>
      </w:r>
      <w:bookmarkEnd w:id="13"/>
    </w:p>
    <w:p w14:paraId="078A2617" w14:textId="72742085" w:rsidR="000E6C95" w:rsidRPr="00631C1B" w:rsidRDefault="00AD460E" w:rsidP="000E6C95">
      <w:pPr>
        <w:pStyle w:val="BodyText"/>
      </w:pPr>
      <w:r w:rsidRPr="00631C1B">
        <w:t xml:space="preserve">Throughout this report we have provided the </w:t>
      </w:r>
      <w:r w:rsidR="0006624D" w:rsidRPr="00631C1B">
        <w:t xml:space="preserve">total number of participants reported by projects as achieving a particular outcome. The methods for </w:t>
      </w:r>
      <w:r w:rsidR="00FB38D3" w:rsidRPr="00631C1B">
        <w:t>assessing whether a participant has achieved an outcome vary from project to project (i.e. in some projects questionnaires are used,</w:t>
      </w:r>
      <w:r w:rsidR="00B31FD6" w:rsidRPr="00631C1B">
        <w:t xml:space="preserve"> whilst </w:t>
      </w:r>
      <w:r w:rsidR="00FB38D3" w:rsidRPr="00631C1B">
        <w:t>in others progress is based on interviews with practitioners)</w:t>
      </w:r>
      <w:r w:rsidR="001D4F9C" w:rsidRPr="00631C1B">
        <w:t xml:space="preserve">. There are </w:t>
      </w:r>
      <w:r w:rsidR="000C6228" w:rsidRPr="00631C1B">
        <w:t>significant</w:t>
      </w:r>
      <w:r w:rsidR="001D4F9C" w:rsidRPr="00631C1B">
        <w:t xml:space="preserve"> differences in the numbers of participants taking part in </w:t>
      </w:r>
      <w:r w:rsidR="000C6228" w:rsidRPr="00631C1B">
        <w:t xml:space="preserve">different </w:t>
      </w:r>
      <w:r w:rsidR="001D4F9C" w:rsidRPr="00631C1B">
        <w:t>projects</w:t>
      </w:r>
      <w:r w:rsidR="00B31FD6" w:rsidRPr="00631C1B">
        <w:t>,</w:t>
      </w:r>
      <w:r w:rsidR="001D4F9C" w:rsidRPr="00631C1B">
        <w:t xml:space="preserve"> with some </w:t>
      </w:r>
      <w:r w:rsidR="00B75AA3" w:rsidRPr="00631C1B">
        <w:t>seeking to achieve bigger impacts with smaller number</w:t>
      </w:r>
      <w:r w:rsidR="00C00622" w:rsidRPr="00631C1B">
        <w:t>s</w:t>
      </w:r>
      <w:r w:rsidR="00B75AA3" w:rsidRPr="00631C1B">
        <w:t>, and others seeking to achieve more modest impacts with a larger cohort.</w:t>
      </w:r>
      <w:r w:rsidR="00EF2BFB" w:rsidRPr="00631C1B">
        <w:t xml:space="preserve"> The quantitative record of the number of individuals achieving different outcomes should therefore be considered alongside the qualitative accounts provided by projects that demonstrate how outcomes overlap and </w:t>
      </w:r>
      <w:r w:rsidR="00AF40AE" w:rsidRPr="00631C1B">
        <w:t>how participants experience progression journeys differently.</w:t>
      </w:r>
    </w:p>
    <w:p w14:paraId="5F0778FB" w14:textId="1B1B8BED" w:rsidR="004D31A2" w:rsidRPr="00631C1B" w:rsidRDefault="00F54C63" w:rsidP="000E6C95">
      <w:pPr>
        <w:pStyle w:val="BodyText"/>
      </w:pPr>
      <w:r w:rsidRPr="00631C1B">
        <w:t xml:space="preserve">Another </w:t>
      </w:r>
      <w:r w:rsidR="0042525C" w:rsidRPr="00631C1B">
        <w:t>lesson from Phase 4 is that organisations across both funds</w:t>
      </w:r>
      <w:r w:rsidR="001A7FBF" w:rsidRPr="00631C1B">
        <w:t xml:space="preserve"> have likely been underreporting outcomes due to the additional resources required for </w:t>
      </w:r>
      <w:r w:rsidR="00446A5D" w:rsidRPr="00631C1B">
        <w:t>evaluation methods to be applied consistently and at scale</w:t>
      </w:r>
      <w:r w:rsidR="00B54693" w:rsidRPr="00631C1B">
        <w:t xml:space="preserve">. This lack of confidence in evaluation at the project level also means that </w:t>
      </w:r>
      <w:r w:rsidR="00BD21DF" w:rsidRPr="00631C1B">
        <w:t xml:space="preserve">some positive outcomes that are being achieved </w:t>
      </w:r>
      <w:r w:rsidR="00DB388D" w:rsidRPr="00631C1B">
        <w:t>within projects are likely being underreported.</w:t>
      </w:r>
      <w:r w:rsidR="00683F1D" w:rsidRPr="00631C1B">
        <w:t xml:space="preserve"> </w:t>
      </w:r>
      <w:r w:rsidR="00152F2F" w:rsidRPr="00631C1B">
        <w:t xml:space="preserve">Cashback for Communities/Scottish Government and Creative Scotland may wish to consider how evaluation capacity can be </w:t>
      </w:r>
      <w:r w:rsidR="00407550" w:rsidRPr="00631C1B">
        <w:t>increased</w:t>
      </w:r>
      <w:r w:rsidR="00152F2F" w:rsidRPr="00631C1B">
        <w:t xml:space="preserve"> across projects </w:t>
      </w:r>
      <w:r w:rsidR="00407550" w:rsidRPr="00631C1B">
        <w:t xml:space="preserve">in future programmes </w:t>
      </w:r>
      <w:r w:rsidR="00152F2F" w:rsidRPr="00631C1B">
        <w:t xml:space="preserve">(i.e. </w:t>
      </w:r>
      <w:r w:rsidR="00407550" w:rsidRPr="00631C1B">
        <w:t xml:space="preserve">support </w:t>
      </w:r>
      <w:r w:rsidR="00152F2F" w:rsidRPr="00631C1B">
        <w:t xml:space="preserve">to design and apply their own </w:t>
      </w:r>
      <w:r w:rsidR="00407550" w:rsidRPr="00631C1B">
        <w:t>methods, analyse data and report findings</w:t>
      </w:r>
      <w:r w:rsidR="00152F2F" w:rsidRPr="00631C1B">
        <w:t>)</w:t>
      </w:r>
      <w:r w:rsidR="00407550" w:rsidRPr="00631C1B">
        <w:t>.</w:t>
      </w:r>
      <w:r w:rsidR="00152F2F" w:rsidRPr="00631C1B">
        <w:t xml:space="preserve"> </w:t>
      </w:r>
    </w:p>
    <w:p w14:paraId="78062040" w14:textId="3F9D6CE2" w:rsidR="00853EEC" w:rsidRPr="00631C1B" w:rsidRDefault="00853EEC" w:rsidP="00853EEC">
      <w:pPr>
        <w:pStyle w:val="Heading2"/>
      </w:pPr>
      <w:bookmarkStart w:id="14" w:name="_Toc43980015"/>
      <w:r w:rsidRPr="00631C1B">
        <w:t>Profile of programme participants</w:t>
      </w:r>
      <w:bookmarkEnd w:id="14"/>
    </w:p>
    <w:p w14:paraId="02CC45A7" w14:textId="68F3FB2D" w:rsidR="00210C6D" w:rsidRPr="00631C1B" w:rsidRDefault="00210C6D" w:rsidP="00210C6D">
      <w:pPr>
        <w:pStyle w:val="BodyText"/>
      </w:pPr>
      <w:r w:rsidRPr="00631C1B">
        <w:t xml:space="preserve">The </w:t>
      </w:r>
      <w:proofErr w:type="spellStart"/>
      <w:r w:rsidR="00281FAF" w:rsidRPr="00631C1B">
        <w:t>CashBack</w:t>
      </w:r>
      <w:proofErr w:type="spellEnd"/>
      <w:r w:rsidRPr="00631C1B">
        <w:t xml:space="preserve"> for Creativity programme </w:t>
      </w:r>
      <w:r w:rsidR="00382860" w:rsidRPr="00631C1B">
        <w:t>is</w:t>
      </w:r>
      <w:r w:rsidRPr="00631C1B">
        <w:t xml:space="preserve"> </w:t>
      </w:r>
      <w:r w:rsidR="00176165" w:rsidRPr="00631C1B">
        <w:t>focused on</w:t>
      </w:r>
      <w:r w:rsidRPr="00631C1B">
        <w:t xml:space="preserve"> young people between the ages of 10 and 24 years across Scotland. It was particularly targeted at those living in areas experiencing acute deprivation (i.e. on the ‘higher’ end of the Scottish Index of Multiple Deprivation (SIMD)), as well as those excluded or </w:t>
      </w:r>
      <w:r w:rsidRPr="00631C1B">
        <w:t>at risk of exclusion from school, not in education, employment or training, or those engaging in offending or anti-social behaviour (or at risk of doing so).</w:t>
      </w:r>
    </w:p>
    <w:p w14:paraId="31F32902" w14:textId="27D1097C" w:rsidR="00A4486F" w:rsidRPr="00631C1B" w:rsidRDefault="00A4486F" w:rsidP="00210C6D">
      <w:pPr>
        <w:pStyle w:val="BodyText"/>
        <w:rPr>
          <w:b/>
          <w:bCs/>
        </w:rPr>
      </w:pPr>
      <w:r w:rsidRPr="00631C1B">
        <w:rPr>
          <w:b/>
          <w:bCs/>
        </w:rPr>
        <w:t>Participation numbers</w:t>
      </w:r>
    </w:p>
    <w:p w14:paraId="0F5CA91C" w14:textId="24E61237" w:rsidR="00210C6D" w:rsidRPr="00631C1B" w:rsidRDefault="00210C6D" w:rsidP="00210C6D">
      <w:pPr>
        <w:pStyle w:val="BodyText"/>
      </w:pPr>
      <w:r w:rsidRPr="00631C1B">
        <w:t xml:space="preserve">Across the two funds, in Year </w:t>
      </w:r>
      <w:r w:rsidR="00470923" w:rsidRPr="00631C1B">
        <w:t>3</w:t>
      </w:r>
      <w:r w:rsidRPr="00631C1B">
        <w:t xml:space="preserve">, a total of </w:t>
      </w:r>
      <w:r w:rsidR="000C5A3E" w:rsidRPr="00631C1B">
        <w:t>5,</w:t>
      </w:r>
      <w:r w:rsidR="00997953">
        <w:t>3</w:t>
      </w:r>
      <w:r w:rsidR="00E47202">
        <w:t>89</w:t>
      </w:r>
      <w:r w:rsidRPr="00631C1B">
        <w:t xml:space="preserve"> youn</w:t>
      </w:r>
      <w:r w:rsidR="00685E11" w:rsidRPr="00631C1B">
        <w:t>g</w:t>
      </w:r>
      <w:r w:rsidRPr="00631C1B">
        <w:t xml:space="preserve"> people participated in the activities of the </w:t>
      </w:r>
      <w:r w:rsidR="00887812" w:rsidRPr="00631C1B">
        <w:t>60</w:t>
      </w:r>
      <w:r w:rsidRPr="00631C1B">
        <w:t xml:space="preserve"> projects (Figure </w:t>
      </w:r>
      <w:r w:rsidR="00E80E45" w:rsidRPr="00631C1B">
        <w:t>1</w:t>
      </w:r>
      <w:r w:rsidRPr="00631C1B">
        <w:t>)</w:t>
      </w:r>
      <w:r w:rsidR="00277038" w:rsidRPr="00631C1B">
        <w:t>.</w:t>
      </w:r>
      <w:r w:rsidRPr="00631C1B">
        <w:t xml:space="preserve">This included </w:t>
      </w:r>
      <w:r w:rsidR="000C5A3E" w:rsidRPr="00631C1B">
        <w:t>2,2</w:t>
      </w:r>
      <w:r w:rsidR="00797144">
        <w:t>28</w:t>
      </w:r>
      <w:r w:rsidRPr="00631C1B">
        <w:t xml:space="preserve"> young people </w:t>
      </w:r>
      <w:r w:rsidR="00FC1FEA" w:rsidRPr="00631C1B">
        <w:t xml:space="preserve">across the 15 projects </w:t>
      </w:r>
      <w:r w:rsidRPr="00631C1B">
        <w:t>within the Targeted Fund</w:t>
      </w:r>
      <w:r w:rsidR="00FC1FEA" w:rsidRPr="00631C1B">
        <w:t>,</w:t>
      </w:r>
      <w:r w:rsidRPr="00631C1B">
        <w:t xml:space="preserve"> and </w:t>
      </w:r>
      <w:r w:rsidR="002F6204" w:rsidRPr="00631C1B">
        <w:t>3,</w:t>
      </w:r>
      <w:r w:rsidR="00997953">
        <w:t>107</w:t>
      </w:r>
      <w:r w:rsidRPr="00631C1B">
        <w:t xml:space="preserve"> young people across the </w:t>
      </w:r>
      <w:r w:rsidR="00685E11" w:rsidRPr="00631C1B">
        <w:t>45</w:t>
      </w:r>
      <w:r w:rsidRPr="00631C1B">
        <w:t xml:space="preserve"> projects of the Open Fund.</w:t>
      </w:r>
      <w:r w:rsidR="00911469" w:rsidRPr="00631C1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93"/>
      </w:tblGrid>
      <w:tr w:rsidR="00210C6D" w:rsidRPr="00631C1B" w14:paraId="00A1A16E" w14:textId="77777777" w:rsidTr="00D62CE9">
        <w:trPr>
          <w:trHeight w:val="747"/>
        </w:trPr>
        <w:tc>
          <w:tcPr>
            <w:tcW w:w="6529" w:type="dxa"/>
          </w:tcPr>
          <w:p w14:paraId="70D042DA" w14:textId="6B2DE73A" w:rsidR="00210C6D" w:rsidRPr="00631C1B" w:rsidRDefault="00210C6D" w:rsidP="0078663D">
            <w:pPr>
              <w:pStyle w:val="Caption"/>
              <w:keepLines/>
            </w:pPr>
            <w:bookmarkStart w:id="15" w:name="_Toc42266736"/>
            <w:bookmarkStart w:id="16" w:name="_Hlk12372451"/>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w:t>
            </w:r>
            <w:r w:rsidRPr="00631C1B">
              <w:rPr>
                <w:noProof/>
              </w:rPr>
              <w:fldChar w:fldCharType="end"/>
            </w:r>
            <w:r w:rsidRPr="00631C1B">
              <w:t xml:space="preserve">  Total programme participant numbers</w:t>
            </w:r>
            <w:r w:rsidR="006312B5" w:rsidRPr="00631C1B">
              <w:t xml:space="preserve"> – Year 3</w:t>
            </w:r>
            <w:bookmarkEnd w:id="15"/>
          </w:p>
        </w:tc>
      </w:tr>
      <w:tr w:rsidR="00210C6D" w:rsidRPr="00631C1B" w14:paraId="2013BDE6" w14:textId="77777777" w:rsidTr="00D62CE9">
        <w:tblPrEx>
          <w:tblCellMar>
            <w:left w:w="108" w:type="dxa"/>
            <w:right w:w="108" w:type="dxa"/>
          </w:tblCellMar>
        </w:tblPrEx>
        <w:trPr>
          <w:trHeight w:val="2161"/>
        </w:trPr>
        <w:tc>
          <w:tcPr>
            <w:tcW w:w="6529" w:type="dxa"/>
          </w:tcPr>
          <w:tbl>
            <w:tblPr>
              <w:tblStyle w:val="BOPtable"/>
              <w:tblW w:w="6377" w:type="dxa"/>
              <w:tblLook w:val="04A0" w:firstRow="1" w:lastRow="0" w:firstColumn="1" w:lastColumn="0" w:noHBand="0" w:noVBand="1"/>
            </w:tblPr>
            <w:tblGrid>
              <w:gridCol w:w="1506"/>
              <w:gridCol w:w="1827"/>
              <w:gridCol w:w="1081"/>
              <w:gridCol w:w="1216"/>
              <w:gridCol w:w="747"/>
            </w:tblGrid>
            <w:tr w:rsidR="00890286" w:rsidRPr="00631C1B" w14:paraId="2F62CCE2" w14:textId="77777777" w:rsidTr="00D62CE9">
              <w:trPr>
                <w:cnfStyle w:val="100000000000" w:firstRow="1" w:lastRow="0" w:firstColumn="0" w:lastColumn="0" w:oddVBand="0" w:evenVBand="0" w:oddHBand="0" w:evenHBand="0" w:firstRowFirstColumn="0" w:firstRowLastColumn="0" w:lastRowFirstColumn="0" w:lastRowLastColumn="0"/>
                <w:trHeight w:val="233"/>
              </w:trPr>
              <w:tc>
                <w:tcPr>
                  <w:tcW w:w="1506" w:type="dxa"/>
                  <w:tcBorders>
                    <w:right w:val="single" w:sz="4" w:space="0" w:color="auto"/>
                  </w:tcBorders>
                </w:tcPr>
                <w:p w14:paraId="53BAB2BB" w14:textId="77777777" w:rsidR="00890286" w:rsidRPr="00631C1B" w:rsidRDefault="00890286" w:rsidP="0078663D"/>
              </w:tc>
              <w:tc>
                <w:tcPr>
                  <w:tcW w:w="1827" w:type="dxa"/>
                  <w:tcBorders>
                    <w:left w:val="single" w:sz="4" w:space="0" w:color="auto"/>
                    <w:right w:val="single" w:sz="4" w:space="0" w:color="auto"/>
                  </w:tcBorders>
                </w:tcPr>
                <w:p w14:paraId="3C678B7F" w14:textId="77777777" w:rsidR="00890286" w:rsidRPr="00631C1B" w:rsidRDefault="00890286" w:rsidP="00404F27">
                  <w:pPr>
                    <w:jc w:val="center"/>
                  </w:pPr>
                  <w:r w:rsidRPr="00631C1B">
                    <w:t>Grant offer letter target</w:t>
                  </w:r>
                </w:p>
              </w:tc>
              <w:tc>
                <w:tcPr>
                  <w:tcW w:w="1081" w:type="dxa"/>
                  <w:tcBorders>
                    <w:left w:val="single" w:sz="4" w:space="0" w:color="auto"/>
                    <w:right w:val="single" w:sz="4" w:space="0" w:color="auto"/>
                  </w:tcBorders>
                </w:tcPr>
                <w:p w14:paraId="6B5F6B17" w14:textId="77777777" w:rsidR="00890286" w:rsidRPr="00631C1B" w:rsidRDefault="00890286" w:rsidP="00404F27">
                  <w:pPr>
                    <w:jc w:val="center"/>
                  </w:pPr>
                  <w:r w:rsidRPr="00631C1B">
                    <w:t>Actual</w:t>
                  </w:r>
                </w:p>
              </w:tc>
              <w:tc>
                <w:tcPr>
                  <w:tcW w:w="1216" w:type="dxa"/>
                  <w:tcBorders>
                    <w:left w:val="single" w:sz="4" w:space="0" w:color="auto"/>
                  </w:tcBorders>
                </w:tcPr>
                <w:p w14:paraId="469C3708" w14:textId="77777777" w:rsidR="00890286" w:rsidRPr="00631C1B" w:rsidRDefault="00890286" w:rsidP="00404F27">
                  <w:pPr>
                    <w:jc w:val="center"/>
                  </w:pPr>
                  <w:r w:rsidRPr="00631C1B">
                    <w:t>Variance</w:t>
                  </w:r>
                </w:p>
              </w:tc>
              <w:tc>
                <w:tcPr>
                  <w:tcW w:w="747" w:type="dxa"/>
                </w:tcPr>
                <w:p w14:paraId="6505ED05" w14:textId="77777777" w:rsidR="00890286" w:rsidRPr="00631C1B" w:rsidRDefault="00890286" w:rsidP="0078663D"/>
              </w:tc>
            </w:tr>
            <w:tr w:rsidR="00890286" w:rsidRPr="00631C1B" w14:paraId="14EF5553" w14:textId="77777777" w:rsidTr="00D62CE9">
              <w:trPr>
                <w:trHeight w:val="233"/>
              </w:trPr>
              <w:tc>
                <w:tcPr>
                  <w:tcW w:w="1506" w:type="dxa"/>
                  <w:tcBorders>
                    <w:right w:val="single" w:sz="4" w:space="0" w:color="auto"/>
                  </w:tcBorders>
                  <w:vAlign w:val="bottom"/>
                </w:tcPr>
                <w:p w14:paraId="6AA6A0CA" w14:textId="77777777" w:rsidR="00890286" w:rsidRPr="00631C1B" w:rsidRDefault="00890286" w:rsidP="0078663D">
                  <w:pPr>
                    <w:rPr>
                      <w:rFonts w:cs="Arial"/>
                      <w:sz w:val="18"/>
                      <w:szCs w:val="18"/>
                    </w:rPr>
                  </w:pPr>
                  <w:r w:rsidRPr="00631C1B">
                    <w:rPr>
                      <w:rFonts w:cs="Arial"/>
                      <w:color w:val="000000"/>
                      <w:sz w:val="18"/>
                      <w:szCs w:val="18"/>
                    </w:rPr>
                    <w:t>Targeted</w:t>
                  </w:r>
                </w:p>
              </w:tc>
              <w:tc>
                <w:tcPr>
                  <w:tcW w:w="1827" w:type="dxa"/>
                  <w:tcBorders>
                    <w:left w:val="single" w:sz="4" w:space="0" w:color="auto"/>
                    <w:right w:val="single" w:sz="4" w:space="0" w:color="auto"/>
                  </w:tcBorders>
                  <w:vAlign w:val="bottom"/>
                </w:tcPr>
                <w:p w14:paraId="15735375" w14:textId="23E44695" w:rsidR="00890286" w:rsidRPr="00631C1B" w:rsidRDefault="004B617B" w:rsidP="00404F27">
                  <w:pPr>
                    <w:jc w:val="center"/>
                    <w:rPr>
                      <w:rFonts w:cs="Arial"/>
                      <w:sz w:val="18"/>
                      <w:szCs w:val="18"/>
                    </w:rPr>
                  </w:pPr>
                  <w:r w:rsidRPr="00631C1B">
                    <w:rPr>
                      <w:rFonts w:cs="Arial"/>
                      <w:sz w:val="18"/>
                      <w:szCs w:val="18"/>
                    </w:rPr>
                    <w:t>2,7</w:t>
                  </w:r>
                  <w:r w:rsidR="003B1FA4" w:rsidRPr="00631C1B">
                    <w:rPr>
                      <w:rFonts w:cs="Arial"/>
                      <w:sz w:val="18"/>
                      <w:szCs w:val="18"/>
                    </w:rPr>
                    <w:t>33</w:t>
                  </w:r>
                </w:p>
              </w:tc>
              <w:tc>
                <w:tcPr>
                  <w:tcW w:w="1081" w:type="dxa"/>
                  <w:tcBorders>
                    <w:left w:val="single" w:sz="4" w:space="0" w:color="auto"/>
                    <w:right w:val="single" w:sz="4" w:space="0" w:color="auto"/>
                  </w:tcBorders>
                </w:tcPr>
                <w:p w14:paraId="04555C77" w14:textId="6DE867FF" w:rsidR="00890286" w:rsidRPr="00631C1B" w:rsidRDefault="00093FE2" w:rsidP="00404F27">
                  <w:pPr>
                    <w:jc w:val="center"/>
                    <w:rPr>
                      <w:rFonts w:cs="Arial"/>
                      <w:sz w:val="18"/>
                      <w:szCs w:val="18"/>
                    </w:rPr>
                  </w:pPr>
                  <w:r w:rsidRPr="007D5FCE">
                    <w:rPr>
                      <w:rFonts w:cs="Arial"/>
                      <w:sz w:val="18"/>
                      <w:szCs w:val="18"/>
                    </w:rPr>
                    <w:t>2,2</w:t>
                  </w:r>
                  <w:r w:rsidR="00051F24" w:rsidRPr="007D5FCE">
                    <w:rPr>
                      <w:rFonts w:cs="Arial"/>
                      <w:sz w:val="18"/>
                      <w:szCs w:val="18"/>
                    </w:rPr>
                    <w:t>82</w:t>
                  </w:r>
                </w:p>
              </w:tc>
              <w:tc>
                <w:tcPr>
                  <w:tcW w:w="1216" w:type="dxa"/>
                  <w:tcBorders>
                    <w:left w:val="single" w:sz="4" w:space="0" w:color="auto"/>
                  </w:tcBorders>
                </w:tcPr>
                <w:p w14:paraId="59C8F41B" w14:textId="7F46A7F3" w:rsidR="00890286" w:rsidRPr="00631C1B" w:rsidRDefault="00B65CC2" w:rsidP="00404F27">
                  <w:pPr>
                    <w:jc w:val="center"/>
                    <w:rPr>
                      <w:rFonts w:cs="Arial"/>
                      <w:sz w:val="18"/>
                      <w:szCs w:val="18"/>
                    </w:rPr>
                  </w:pPr>
                  <w:r w:rsidRPr="007D5FCE">
                    <w:rPr>
                      <w:rFonts w:cs="Arial"/>
                      <w:sz w:val="18"/>
                      <w:szCs w:val="18"/>
                    </w:rPr>
                    <w:t>-</w:t>
                  </w:r>
                  <w:r w:rsidR="00847B55" w:rsidRPr="007D5FCE">
                    <w:rPr>
                      <w:rFonts w:cs="Arial"/>
                      <w:sz w:val="18"/>
                      <w:szCs w:val="18"/>
                    </w:rPr>
                    <w:t>4</w:t>
                  </w:r>
                  <w:r w:rsidR="00652103" w:rsidRPr="007D5FCE">
                    <w:rPr>
                      <w:rFonts w:cs="Arial"/>
                      <w:sz w:val="18"/>
                      <w:szCs w:val="18"/>
                    </w:rPr>
                    <w:t>51</w:t>
                  </w:r>
                </w:p>
              </w:tc>
              <w:tc>
                <w:tcPr>
                  <w:tcW w:w="747" w:type="dxa"/>
                </w:tcPr>
                <w:p w14:paraId="7BF22E83" w14:textId="77777777" w:rsidR="00890286" w:rsidRPr="00631C1B" w:rsidRDefault="00890286" w:rsidP="0078663D">
                  <w:pPr>
                    <w:rPr>
                      <w:rFonts w:cs="Arial"/>
                    </w:rPr>
                  </w:pPr>
                </w:p>
              </w:tc>
            </w:tr>
            <w:tr w:rsidR="00890286" w:rsidRPr="00631C1B" w14:paraId="4206FE7C" w14:textId="77777777" w:rsidTr="00D62CE9">
              <w:trPr>
                <w:trHeight w:val="233"/>
              </w:trPr>
              <w:tc>
                <w:tcPr>
                  <w:tcW w:w="1506" w:type="dxa"/>
                  <w:tcBorders>
                    <w:right w:val="single" w:sz="4" w:space="0" w:color="auto"/>
                  </w:tcBorders>
                  <w:vAlign w:val="bottom"/>
                </w:tcPr>
                <w:p w14:paraId="3CA8FCD6" w14:textId="77777777" w:rsidR="00890286" w:rsidRPr="00631C1B" w:rsidRDefault="00890286" w:rsidP="0078663D">
                  <w:pPr>
                    <w:rPr>
                      <w:rFonts w:cs="Arial"/>
                      <w:color w:val="000000"/>
                      <w:sz w:val="18"/>
                      <w:szCs w:val="18"/>
                    </w:rPr>
                  </w:pPr>
                  <w:r w:rsidRPr="00631C1B">
                    <w:rPr>
                      <w:rFonts w:cs="Arial"/>
                      <w:color w:val="000000"/>
                      <w:sz w:val="18"/>
                      <w:szCs w:val="18"/>
                    </w:rPr>
                    <w:t>Open</w:t>
                  </w:r>
                </w:p>
              </w:tc>
              <w:tc>
                <w:tcPr>
                  <w:tcW w:w="1827" w:type="dxa"/>
                  <w:tcBorders>
                    <w:left w:val="single" w:sz="4" w:space="0" w:color="auto"/>
                    <w:right w:val="single" w:sz="4" w:space="0" w:color="auto"/>
                  </w:tcBorders>
                  <w:vAlign w:val="bottom"/>
                </w:tcPr>
                <w:p w14:paraId="39F8739C" w14:textId="4B73B517" w:rsidR="00890286" w:rsidRPr="00631C1B" w:rsidRDefault="007652FC" w:rsidP="00404F27">
                  <w:pPr>
                    <w:jc w:val="center"/>
                    <w:rPr>
                      <w:rFonts w:cs="Arial"/>
                      <w:color w:val="000000"/>
                      <w:sz w:val="18"/>
                      <w:szCs w:val="18"/>
                    </w:rPr>
                  </w:pPr>
                  <w:r w:rsidRPr="00631C1B">
                    <w:rPr>
                      <w:rFonts w:cs="Arial"/>
                      <w:color w:val="000000"/>
                      <w:sz w:val="18"/>
                      <w:szCs w:val="18"/>
                    </w:rPr>
                    <w:t>3,33</w:t>
                  </w:r>
                  <w:r w:rsidR="00816E7E" w:rsidRPr="00631C1B">
                    <w:rPr>
                      <w:rFonts w:cs="Arial"/>
                      <w:color w:val="000000"/>
                      <w:sz w:val="18"/>
                      <w:szCs w:val="18"/>
                    </w:rPr>
                    <w:t>4</w:t>
                  </w:r>
                </w:p>
              </w:tc>
              <w:tc>
                <w:tcPr>
                  <w:tcW w:w="1081" w:type="dxa"/>
                  <w:tcBorders>
                    <w:left w:val="single" w:sz="4" w:space="0" w:color="auto"/>
                    <w:right w:val="single" w:sz="4" w:space="0" w:color="auto"/>
                  </w:tcBorders>
                </w:tcPr>
                <w:p w14:paraId="0B7807A9" w14:textId="4A5A6BA5" w:rsidR="00890286" w:rsidRPr="00631C1B" w:rsidRDefault="008E309A" w:rsidP="00404F27">
                  <w:pPr>
                    <w:jc w:val="center"/>
                    <w:rPr>
                      <w:rFonts w:cs="Arial"/>
                      <w:sz w:val="18"/>
                      <w:szCs w:val="18"/>
                    </w:rPr>
                  </w:pPr>
                  <w:r w:rsidRPr="00631C1B">
                    <w:rPr>
                      <w:rFonts w:cs="Arial"/>
                      <w:sz w:val="18"/>
                      <w:szCs w:val="18"/>
                    </w:rPr>
                    <w:t>3,</w:t>
                  </w:r>
                  <w:r w:rsidR="00997953">
                    <w:rPr>
                      <w:rFonts w:cs="Arial"/>
                      <w:sz w:val="18"/>
                      <w:szCs w:val="18"/>
                    </w:rPr>
                    <w:t>107</w:t>
                  </w:r>
                </w:p>
              </w:tc>
              <w:tc>
                <w:tcPr>
                  <w:tcW w:w="1216" w:type="dxa"/>
                  <w:tcBorders>
                    <w:left w:val="single" w:sz="4" w:space="0" w:color="auto"/>
                  </w:tcBorders>
                </w:tcPr>
                <w:p w14:paraId="16CA85A9" w14:textId="7DDA4C1A" w:rsidR="00890286" w:rsidRPr="00631C1B" w:rsidRDefault="006076D2" w:rsidP="00404F27">
                  <w:pPr>
                    <w:jc w:val="center"/>
                    <w:rPr>
                      <w:rFonts w:cs="Arial"/>
                      <w:sz w:val="18"/>
                      <w:szCs w:val="18"/>
                    </w:rPr>
                  </w:pPr>
                  <w:r w:rsidRPr="00631C1B">
                    <w:rPr>
                      <w:rFonts w:cs="Arial"/>
                      <w:sz w:val="18"/>
                      <w:szCs w:val="18"/>
                    </w:rPr>
                    <w:t>-</w:t>
                  </w:r>
                  <w:r w:rsidR="00737AD1" w:rsidRPr="00631C1B">
                    <w:rPr>
                      <w:rFonts w:cs="Arial"/>
                      <w:sz w:val="18"/>
                      <w:szCs w:val="18"/>
                    </w:rPr>
                    <w:t>2</w:t>
                  </w:r>
                  <w:r w:rsidR="00997953">
                    <w:rPr>
                      <w:rFonts w:cs="Arial"/>
                      <w:sz w:val="18"/>
                      <w:szCs w:val="18"/>
                    </w:rPr>
                    <w:t>27</w:t>
                  </w:r>
                </w:p>
              </w:tc>
              <w:tc>
                <w:tcPr>
                  <w:tcW w:w="747" w:type="dxa"/>
                </w:tcPr>
                <w:p w14:paraId="1762BD5B" w14:textId="77777777" w:rsidR="00890286" w:rsidRPr="00631C1B" w:rsidRDefault="00890286" w:rsidP="0078663D">
                  <w:pPr>
                    <w:rPr>
                      <w:rFonts w:cs="Arial"/>
                    </w:rPr>
                  </w:pPr>
                </w:p>
              </w:tc>
            </w:tr>
            <w:tr w:rsidR="00890286" w:rsidRPr="00631C1B" w14:paraId="468126D3" w14:textId="77777777" w:rsidTr="00D62CE9">
              <w:trPr>
                <w:trHeight w:val="233"/>
              </w:trPr>
              <w:tc>
                <w:tcPr>
                  <w:tcW w:w="1506" w:type="dxa"/>
                  <w:tcBorders>
                    <w:bottom w:val="nil"/>
                    <w:right w:val="single" w:sz="4" w:space="0" w:color="auto"/>
                  </w:tcBorders>
                  <w:vAlign w:val="bottom"/>
                </w:tcPr>
                <w:p w14:paraId="215DBE41" w14:textId="77777777" w:rsidR="00890286" w:rsidRPr="00631C1B" w:rsidRDefault="00890286" w:rsidP="0078663D">
                  <w:pPr>
                    <w:rPr>
                      <w:rFonts w:cs="Arial"/>
                      <w:b/>
                      <w:color w:val="000000"/>
                      <w:sz w:val="18"/>
                      <w:szCs w:val="18"/>
                    </w:rPr>
                  </w:pPr>
                  <w:r w:rsidRPr="00631C1B">
                    <w:rPr>
                      <w:rFonts w:cs="Arial"/>
                      <w:b/>
                      <w:color w:val="000000"/>
                      <w:sz w:val="18"/>
                      <w:szCs w:val="18"/>
                    </w:rPr>
                    <w:t>Total</w:t>
                  </w:r>
                </w:p>
              </w:tc>
              <w:tc>
                <w:tcPr>
                  <w:tcW w:w="1827" w:type="dxa"/>
                  <w:tcBorders>
                    <w:left w:val="single" w:sz="4" w:space="0" w:color="auto"/>
                    <w:bottom w:val="nil"/>
                    <w:right w:val="single" w:sz="4" w:space="0" w:color="auto"/>
                  </w:tcBorders>
                  <w:vAlign w:val="bottom"/>
                </w:tcPr>
                <w:p w14:paraId="245889F9" w14:textId="5E2524B9" w:rsidR="00890286" w:rsidRPr="00631C1B" w:rsidRDefault="00B50D6F" w:rsidP="00404F27">
                  <w:pPr>
                    <w:jc w:val="center"/>
                    <w:rPr>
                      <w:rFonts w:cs="Arial"/>
                      <w:b/>
                      <w:color w:val="000000"/>
                      <w:sz w:val="18"/>
                      <w:szCs w:val="18"/>
                    </w:rPr>
                  </w:pPr>
                  <w:r w:rsidRPr="00631C1B">
                    <w:rPr>
                      <w:rFonts w:cs="Arial"/>
                      <w:b/>
                      <w:color w:val="000000"/>
                      <w:sz w:val="18"/>
                      <w:szCs w:val="18"/>
                    </w:rPr>
                    <w:t>6,0</w:t>
                  </w:r>
                  <w:r w:rsidR="002B279E" w:rsidRPr="00631C1B">
                    <w:rPr>
                      <w:rFonts w:cs="Arial"/>
                      <w:b/>
                      <w:color w:val="000000"/>
                      <w:sz w:val="18"/>
                      <w:szCs w:val="18"/>
                    </w:rPr>
                    <w:t>67</w:t>
                  </w:r>
                </w:p>
              </w:tc>
              <w:tc>
                <w:tcPr>
                  <w:tcW w:w="1081" w:type="dxa"/>
                  <w:tcBorders>
                    <w:left w:val="single" w:sz="4" w:space="0" w:color="auto"/>
                    <w:bottom w:val="nil"/>
                    <w:right w:val="single" w:sz="4" w:space="0" w:color="auto"/>
                  </w:tcBorders>
                </w:tcPr>
                <w:p w14:paraId="73B1DE6F" w14:textId="3354BB61" w:rsidR="00890286" w:rsidRPr="00631C1B" w:rsidRDefault="00B65CC2" w:rsidP="00404F27">
                  <w:pPr>
                    <w:jc w:val="center"/>
                    <w:rPr>
                      <w:rFonts w:cs="Arial"/>
                      <w:b/>
                      <w:sz w:val="18"/>
                      <w:szCs w:val="18"/>
                    </w:rPr>
                  </w:pPr>
                  <w:r w:rsidRPr="007D5FCE">
                    <w:rPr>
                      <w:rFonts w:cs="Arial"/>
                      <w:b/>
                      <w:sz w:val="18"/>
                      <w:szCs w:val="18"/>
                    </w:rPr>
                    <w:t>5,</w:t>
                  </w:r>
                  <w:r w:rsidR="00997953" w:rsidRPr="007D5FCE">
                    <w:rPr>
                      <w:rFonts w:cs="Arial"/>
                      <w:b/>
                      <w:sz w:val="18"/>
                      <w:szCs w:val="18"/>
                    </w:rPr>
                    <w:t>3</w:t>
                  </w:r>
                  <w:r w:rsidR="00E47202" w:rsidRPr="007D5FCE">
                    <w:rPr>
                      <w:rFonts w:cs="Arial"/>
                      <w:b/>
                      <w:sz w:val="18"/>
                      <w:szCs w:val="18"/>
                    </w:rPr>
                    <w:t>89</w:t>
                  </w:r>
                </w:p>
              </w:tc>
              <w:tc>
                <w:tcPr>
                  <w:tcW w:w="1216" w:type="dxa"/>
                  <w:tcBorders>
                    <w:left w:val="single" w:sz="4" w:space="0" w:color="auto"/>
                  </w:tcBorders>
                </w:tcPr>
                <w:p w14:paraId="09AF4562" w14:textId="46952138" w:rsidR="00890286" w:rsidRPr="00631C1B" w:rsidRDefault="00833FDD" w:rsidP="00404F27">
                  <w:pPr>
                    <w:jc w:val="center"/>
                    <w:rPr>
                      <w:rFonts w:cs="Arial"/>
                      <w:b/>
                      <w:sz w:val="18"/>
                      <w:szCs w:val="18"/>
                    </w:rPr>
                  </w:pPr>
                  <w:r w:rsidRPr="00631C1B">
                    <w:rPr>
                      <w:rFonts w:cs="Arial"/>
                      <w:b/>
                      <w:sz w:val="18"/>
                      <w:szCs w:val="18"/>
                    </w:rPr>
                    <w:t>-</w:t>
                  </w:r>
                  <w:r w:rsidR="00F92530">
                    <w:rPr>
                      <w:rFonts w:cs="Arial"/>
                      <w:b/>
                      <w:sz w:val="18"/>
                      <w:szCs w:val="18"/>
                    </w:rPr>
                    <w:t>678</w:t>
                  </w:r>
                </w:p>
              </w:tc>
              <w:tc>
                <w:tcPr>
                  <w:tcW w:w="747" w:type="dxa"/>
                </w:tcPr>
                <w:p w14:paraId="77E5D09E" w14:textId="77777777" w:rsidR="00890286" w:rsidRPr="00631C1B" w:rsidRDefault="00890286" w:rsidP="0078663D">
                  <w:pPr>
                    <w:rPr>
                      <w:rFonts w:cs="Arial"/>
                    </w:rPr>
                  </w:pPr>
                </w:p>
              </w:tc>
            </w:tr>
          </w:tbl>
          <w:p w14:paraId="63BB3601" w14:textId="77777777" w:rsidR="00210C6D" w:rsidRPr="00631C1B" w:rsidRDefault="00210C6D" w:rsidP="0078663D">
            <w:pPr>
              <w:pStyle w:val="Image"/>
              <w:keepLines/>
            </w:pPr>
          </w:p>
        </w:tc>
      </w:tr>
      <w:bookmarkEnd w:id="16"/>
      <w:tr w:rsidR="00210C6D" w:rsidRPr="00631C1B" w14:paraId="6943403C" w14:textId="77777777" w:rsidTr="00D62CE9">
        <w:trPr>
          <w:trHeight w:val="1829"/>
        </w:trPr>
        <w:tc>
          <w:tcPr>
            <w:tcW w:w="6529" w:type="dxa"/>
          </w:tcPr>
          <w:p w14:paraId="5AA99D30" w14:textId="214ACC3B" w:rsidR="00210C6D" w:rsidRPr="00631C1B" w:rsidRDefault="00210C6D" w:rsidP="0078663D">
            <w:pPr>
              <w:pStyle w:val="Source"/>
              <w:keepLines/>
            </w:pPr>
            <w:r w:rsidRPr="00631C1B">
              <w:t>Source: Creative Scotland / BOP Consulting (20</w:t>
            </w:r>
            <w:r w:rsidR="00F10BBF" w:rsidRPr="00631C1B">
              <w:t>20</w:t>
            </w:r>
            <w:r w:rsidRPr="00631C1B">
              <w:t>)</w:t>
            </w:r>
          </w:p>
          <w:p w14:paraId="121C7864" w14:textId="6228399C" w:rsidR="00763948" w:rsidRPr="00631C1B" w:rsidRDefault="008E309A" w:rsidP="00D62CE9">
            <w:pPr>
              <w:pStyle w:val="BodyText"/>
            </w:pPr>
            <w:r w:rsidRPr="00631C1B">
              <w:t>Across the two funds</w:t>
            </w:r>
            <w:r w:rsidR="00DB26BE" w:rsidRPr="00631C1B">
              <w:t xml:space="preserve"> and</w:t>
            </w:r>
            <w:r w:rsidRPr="00631C1B">
              <w:t xml:space="preserve"> </w:t>
            </w:r>
            <w:r w:rsidR="0003501A" w:rsidRPr="00631C1B">
              <w:t>across all years</w:t>
            </w:r>
            <w:r w:rsidRPr="00631C1B">
              <w:t xml:space="preserve">, a total of </w:t>
            </w:r>
            <w:r w:rsidR="00BE245A" w:rsidRPr="00631C1B">
              <w:t>14,2</w:t>
            </w:r>
            <w:r w:rsidR="00F5771D">
              <w:t>72</w:t>
            </w:r>
            <w:r w:rsidRPr="00631C1B">
              <w:t xml:space="preserve"> young people participated in the activities of the </w:t>
            </w:r>
            <w:r w:rsidR="00C337D2" w:rsidRPr="00631C1B">
              <w:t>127</w:t>
            </w:r>
            <w:r w:rsidRPr="00631C1B">
              <w:t xml:space="preserve"> projects (Figure </w:t>
            </w:r>
            <w:r w:rsidR="0003501A" w:rsidRPr="00631C1B">
              <w:t>2</w:t>
            </w:r>
            <w:r w:rsidRPr="00631C1B">
              <w:t xml:space="preserve">).This included </w:t>
            </w:r>
            <w:r w:rsidR="008F2FA1" w:rsidRPr="00631C1B">
              <w:t>6,7</w:t>
            </w:r>
            <w:r w:rsidR="005844FE">
              <w:t>39</w:t>
            </w:r>
            <w:r w:rsidR="00F92530">
              <w:t xml:space="preserve"> </w:t>
            </w:r>
            <w:r w:rsidRPr="00631C1B">
              <w:t>young people across the 1</w:t>
            </w:r>
            <w:r w:rsidR="0003501A" w:rsidRPr="00631C1B">
              <w:t>6</w:t>
            </w:r>
            <w:r w:rsidRPr="00631C1B">
              <w:rPr>
                <w:rStyle w:val="FootnoteReference"/>
                <w:vertAlign w:val="baseline"/>
              </w:rPr>
              <w:footnoteReference w:id="2"/>
            </w:r>
            <w:r w:rsidRPr="00631C1B">
              <w:t xml:space="preserve"> projects within the Targeted Fund, and </w:t>
            </w:r>
            <w:r w:rsidR="008F2FA1" w:rsidRPr="00631C1B">
              <w:t>7,533</w:t>
            </w:r>
            <w:r w:rsidRPr="00631C1B">
              <w:t xml:space="preserve"> young people across the </w:t>
            </w:r>
            <w:r w:rsidR="001E4716" w:rsidRPr="00631C1B">
              <w:t>111</w:t>
            </w:r>
            <w:r w:rsidRPr="00631C1B">
              <w:t xml:space="preserve"> projects of the Open Fund. </w:t>
            </w:r>
          </w:p>
        </w:tc>
      </w:tr>
      <w:tr w:rsidR="006312B5" w:rsidRPr="00631C1B" w14:paraId="08501BCC" w14:textId="77777777" w:rsidTr="00D62CE9">
        <w:trPr>
          <w:trHeight w:val="747"/>
        </w:trPr>
        <w:tc>
          <w:tcPr>
            <w:tcW w:w="6529" w:type="dxa"/>
          </w:tcPr>
          <w:p w14:paraId="1B14CED9" w14:textId="4B002B54" w:rsidR="006312B5" w:rsidRPr="00631C1B" w:rsidRDefault="006312B5" w:rsidP="009A3F2B">
            <w:pPr>
              <w:pStyle w:val="Caption"/>
              <w:keepLines/>
            </w:pPr>
            <w:bookmarkStart w:id="17" w:name="_Toc42266737"/>
            <w:r w:rsidRPr="00631C1B">
              <w:lastRenderedPageBreak/>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2</w:t>
            </w:r>
            <w:r w:rsidRPr="00631C1B">
              <w:rPr>
                <w:noProof/>
              </w:rPr>
              <w:fldChar w:fldCharType="end"/>
            </w:r>
            <w:r w:rsidRPr="00631C1B">
              <w:t xml:space="preserve">  Total programme participant numbers – All years</w:t>
            </w:r>
            <w:bookmarkEnd w:id="17"/>
          </w:p>
        </w:tc>
      </w:tr>
      <w:tr w:rsidR="006312B5" w:rsidRPr="00631C1B" w14:paraId="704B2BEF" w14:textId="77777777" w:rsidTr="00D62CE9">
        <w:tblPrEx>
          <w:tblCellMar>
            <w:left w:w="108" w:type="dxa"/>
            <w:right w:w="108" w:type="dxa"/>
          </w:tblCellMar>
        </w:tblPrEx>
        <w:trPr>
          <w:trHeight w:val="2161"/>
        </w:trPr>
        <w:tc>
          <w:tcPr>
            <w:tcW w:w="6529" w:type="dxa"/>
          </w:tcPr>
          <w:tbl>
            <w:tblPr>
              <w:tblStyle w:val="BOPtable"/>
              <w:tblW w:w="5630" w:type="dxa"/>
              <w:tblLook w:val="04A0" w:firstRow="1" w:lastRow="0" w:firstColumn="1" w:lastColumn="0" w:noHBand="0" w:noVBand="1"/>
            </w:tblPr>
            <w:tblGrid>
              <w:gridCol w:w="1506"/>
              <w:gridCol w:w="1827"/>
              <w:gridCol w:w="1081"/>
              <w:gridCol w:w="1216"/>
            </w:tblGrid>
            <w:tr w:rsidR="009D3FB3" w:rsidRPr="00631C1B" w14:paraId="74E6B9C3" w14:textId="77777777" w:rsidTr="00D62CE9">
              <w:trPr>
                <w:cnfStyle w:val="100000000000" w:firstRow="1" w:lastRow="0" w:firstColumn="0" w:lastColumn="0" w:oddVBand="0" w:evenVBand="0" w:oddHBand="0" w:evenHBand="0" w:firstRowFirstColumn="0" w:firstRowLastColumn="0" w:lastRowFirstColumn="0" w:lastRowLastColumn="0"/>
                <w:trHeight w:val="233"/>
              </w:trPr>
              <w:tc>
                <w:tcPr>
                  <w:tcW w:w="1506" w:type="dxa"/>
                  <w:tcBorders>
                    <w:right w:val="single" w:sz="4" w:space="0" w:color="auto"/>
                  </w:tcBorders>
                </w:tcPr>
                <w:p w14:paraId="04472719" w14:textId="77777777" w:rsidR="009D3FB3" w:rsidRPr="00631C1B" w:rsidRDefault="009D3FB3" w:rsidP="009A3F2B"/>
              </w:tc>
              <w:tc>
                <w:tcPr>
                  <w:tcW w:w="1827" w:type="dxa"/>
                  <w:tcBorders>
                    <w:left w:val="single" w:sz="4" w:space="0" w:color="auto"/>
                    <w:right w:val="single" w:sz="4" w:space="0" w:color="auto"/>
                  </w:tcBorders>
                </w:tcPr>
                <w:p w14:paraId="38B39039" w14:textId="77777777" w:rsidR="009D3FB3" w:rsidRPr="00631C1B" w:rsidRDefault="009D3FB3" w:rsidP="009A3F2B">
                  <w:pPr>
                    <w:jc w:val="center"/>
                  </w:pPr>
                  <w:r w:rsidRPr="00631C1B">
                    <w:t>Grant offer letter target</w:t>
                  </w:r>
                </w:p>
              </w:tc>
              <w:tc>
                <w:tcPr>
                  <w:tcW w:w="1081" w:type="dxa"/>
                  <w:tcBorders>
                    <w:left w:val="single" w:sz="4" w:space="0" w:color="auto"/>
                    <w:right w:val="single" w:sz="4" w:space="0" w:color="auto"/>
                  </w:tcBorders>
                </w:tcPr>
                <w:p w14:paraId="5BB09FA4" w14:textId="77777777" w:rsidR="009D3FB3" w:rsidRPr="00631C1B" w:rsidRDefault="009D3FB3" w:rsidP="009A3F2B">
                  <w:pPr>
                    <w:jc w:val="center"/>
                  </w:pPr>
                  <w:r w:rsidRPr="00631C1B">
                    <w:t>Actual</w:t>
                  </w:r>
                </w:p>
              </w:tc>
              <w:tc>
                <w:tcPr>
                  <w:tcW w:w="1216" w:type="dxa"/>
                  <w:tcBorders>
                    <w:left w:val="single" w:sz="4" w:space="0" w:color="auto"/>
                  </w:tcBorders>
                </w:tcPr>
                <w:p w14:paraId="21E9349E" w14:textId="77777777" w:rsidR="009D3FB3" w:rsidRPr="00631C1B" w:rsidRDefault="009D3FB3" w:rsidP="009A3F2B">
                  <w:pPr>
                    <w:jc w:val="center"/>
                  </w:pPr>
                  <w:r w:rsidRPr="00631C1B">
                    <w:t>Variance</w:t>
                  </w:r>
                </w:p>
              </w:tc>
            </w:tr>
            <w:tr w:rsidR="009D3FB3" w:rsidRPr="00631C1B" w14:paraId="2114A445" w14:textId="77777777" w:rsidTr="00D62CE9">
              <w:trPr>
                <w:trHeight w:val="233"/>
              </w:trPr>
              <w:tc>
                <w:tcPr>
                  <w:tcW w:w="1506" w:type="dxa"/>
                  <w:tcBorders>
                    <w:right w:val="single" w:sz="4" w:space="0" w:color="auto"/>
                  </w:tcBorders>
                  <w:vAlign w:val="bottom"/>
                </w:tcPr>
                <w:p w14:paraId="5271510B" w14:textId="77777777" w:rsidR="009D3FB3" w:rsidRPr="00631C1B" w:rsidRDefault="009D3FB3" w:rsidP="009A3F2B">
                  <w:pPr>
                    <w:rPr>
                      <w:rFonts w:cs="Arial"/>
                      <w:sz w:val="18"/>
                      <w:szCs w:val="18"/>
                    </w:rPr>
                  </w:pPr>
                  <w:r w:rsidRPr="00631C1B">
                    <w:rPr>
                      <w:rFonts w:cs="Arial"/>
                      <w:color w:val="000000"/>
                      <w:sz w:val="18"/>
                      <w:szCs w:val="18"/>
                    </w:rPr>
                    <w:t>Targeted</w:t>
                  </w:r>
                </w:p>
              </w:tc>
              <w:tc>
                <w:tcPr>
                  <w:tcW w:w="1827" w:type="dxa"/>
                  <w:tcBorders>
                    <w:left w:val="single" w:sz="4" w:space="0" w:color="auto"/>
                    <w:right w:val="single" w:sz="4" w:space="0" w:color="auto"/>
                  </w:tcBorders>
                  <w:vAlign w:val="bottom"/>
                </w:tcPr>
                <w:p w14:paraId="603EFFB7" w14:textId="28BFABCA" w:rsidR="009D3FB3" w:rsidRPr="00631C1B" w:rsidRDefault="009D3FB3" w:rsidP="009A3F2B">
                  <w:pPr>
                    <w:jc w:val="center"/>
                    <w:rPr>
                      <w:rFonts w:cs="Arial"/>
                      <w:sz w:val="18"/>
                      <w:szCs w:val="18"/>
                    </w:rPr>
                  </w:pPr>
                  <w:r w:rsidRPr="00631C1B">
                    <w:rPr>
                      <w:rFonts w:cs="Arial"/>
                      <w:sz w:val="18"/>
                      <w:szCs w:val="18"/>
                    </w:rPr>
                    <w:t>8,000</w:t>
                  </w:r>
                </w:p>
              </w:tc>
              <w:tc>
                <w:tcPr>
                  <w:tcW w:w="1081" w:type="dxa"/>
                  <w:tcBorders>
                    <w:left w:val="single" w:sz="4" w:space="0" w:color="auto"/>
                    <w:right w:val="single" w:sz="4" w:space="0" w:color="auto"/>
                  </w:tcBorders>
                </w:tcPr>
                <w:p w14:paraId="6BE4FED2" w14:textId="65AD8742" w:rsidR="009D3FB3" w:rsidRPr="00631C1B" w:rsidRDefault="002729E1" w:rsidP="009A3F2B">
                  <w:pPr>
                    <w:jc w:val="center"/>
                    <w:rPr>
                      <w:rFonts w:cs="Arial"/>
                      <w:sz w:val="18"/>
                      <w:szCs w:val="18"/>
                    </w:rPr>
                  </w:pPr>
                  <w:r w:rsidRPr="00631C1B">
                    <w:rPr>
                      <w:rFonts w:cs="Arial"/>
                      <w:sz w:val="18"/>
                      <w:szCs w:val="18"/>
                    </w:rPr>
                    <w:t>6,7</w:t>
                  </w:r>
                  <w:r w:rsidR="00F92530">
                    <w:rPr>
                      <w:rFonts w:cs="Arial"/>
                      <w:sz w:val="18"/>
                      <w:szCs w:val="18"/>
                    </w:rPr>
                    <w:t>39</w:t>
                  </w:r>
                </w:p>
              </w:tc>
              <w:tc>
                <w:tcPr>
                  <w:tcW w:w="1216" w:type="dxa"/>
                  <w:tcBorders>
                    <w:left w:val="single" w:sz="4" w:space="0" w:color="auto"/>
                  </w:tcBorders>
                </w:tcPr>
                <w:p w14:paraId="4B10BB58" w14:textId="1CF3161C" w:rsidR="009D3FB3" w:rsidRPr="00631C1B" w:rsidRDefault="001D1438" w:rsidP="009A3F2B">
                  <w:pPr>
                    <w:jc w:val="center"/>
                    <w:rPr>
                      <w:rFonts w:cs="Arial"/>
                      <w:sz w:val="18"/>
                      <w:szCs w:val="18"/>
                    </w:rPr>
                  </w:pPr>
                  <w:r w:rsidRPr="00631C1B">
                    <w:rPr>
                      <w:rFonts w:cs="Arial"/>
                      <w:sz w:val="18"/>
                      <w:szCs w:val="18"/>
                    </w:rPr>
                    <w:t>-1,2</w:t>
                  </w:r>
                  <w:r w:rsidR="00F242B5">
                    <w:rPr>
                      <w:rFonts w:cs="Arial"/>
                      <w:sz w:val="18"/>
                      <w:szCs w:val="18"/>
                    </w:rPr>
                    <w:t>61</w:t>
                  </w:r>
                </w:p>
              </w:tc>
            </w:tr>
            <w:tr w:rsidR="009D3FB3" w:rsidRPr="00631C1B" w14:paraId="7A3344F8" w14:textId="77777777" w:rsidTr="00D62CE9">
              <w:trPr>
                <w:trHeight w:val="233"/>
              </w:trPr>
              <w:tc>
                <w:tcPr>
                  <w:tcW w:w="1506" w:type="dxa"/>
                  <w:tcBorders>
                    <w:right w:val="single" w:sz="4" w:space="0" w:color="auto"/>
                  </w:tcBorders>
                  <w:vAlign w:val="bottom"/>
                </w:tcPr>
                <w:p w14:paraId="2FEEA570" w14:textId="77777777" w:rsidR="009D3FB3" w:rsidRPr="00631C1B" w:rsidRDefault="009D3FB3" w:rsidP="009A3F2B">
                  <w:pPr>
                    <w:rPr>
                      <w:rFonts w:cs="Arial"/>
                      <w:color w:val="000000"/>
                      <w:sz w:val="18"/>
                      <w:szCs w:val="18"/>
                    </w:rPr>
                  </w:pPr>
                  <w:r w:rsidRPr="00631C1B">
                    <w:rPr>
                      <w:rFonts w:cs="Arial"/>
                      <w:color w:val="000000"/>
                      <w:sz w:val="18"/>
                      <w:szCs w:val="18"/>
                    </w:rPr>
                    <w:t>Open</w:t>
                  </w:r>
                </w:p>
              </w:tc>
              <w:tc>
                <w:tcPr>
                  <w:tcW w:w="1827" w:type="dxa"/>
                  <w:tcBorders>
                    <w:left w:val="single" w:sz="4" w:space="0" w:color="auto"/>
                    <w:right w:val="single" w:sz="4" w:space="0" w:color="auto"/>
                  </w:tcBorders>
                  <w:vAlign w:val="bottom"/>
                </w:tcPr>
                <w:p w14:paraId="714D8044" w14:textId="2B1342F0" w:rsidR="009D3FB3" w:rsidRPr="00631C1B" w:rsidRDefault="009D3FB3" w:rsidP="009A3F2B">
                  <w:pPr>
                    <w:jc w:val="center"/>
                    <w:rPr>
                      <w:rFonts w:cs="Arial"/>
                      <w:color w:val="000000"/>
                      <w:sz w:val="18"/>
                      <w:szCs w:val="18"/>
                    </w:rPr>
                  </w:pPr>
                  <w:r w:rsidRPr="00631C1B">
                    <w:rPr>
                      <w:rFonts w:cs="Arial"/>
                      <w:color w:val="000000"/>
                      <w:sz w:val="18"/>
                      <w:szCs w:val="18"/>
                    </w:rPr>
                    <w:t>10,000</w:t>
                  </w:r>
                </w:p>
              </w:tc>
              <w:tc>
                <w:tcPr>
                  <w:tcW w:w="1081" w:type="dxa"/>
                  <w:tcBorders>
                    <w:left w:val="single" w:sz="4" w:space="0" w:color="auto"/>
                    <w:right w:val="single" w:sz="4" w:space="0" w:color="auto"/>
                  </w:tcBorders>
                </w:tcPr>
                <w:p w14:paraId="453EB4F4" w14:textId="1B77975A" w:rsidR="009D3FB3" w:rsidRPr="00631C1B" w:rsidRDefault="009D3FB3" w:rsidP="009A3F2B">
                  <w:pPr>
                    <w:jc w:val="center"/>
                    <w:rPr>
                      <w:rFonts w:cs="Arial"/>
                      <w:sz w:val="18"/>
                      <w:szCs w:val="18"/>
                    </w:rPr>
                  </w:pPr>
                  <w:r w:rsidRPr="00631C1B">
                    <w:rPr>
                      <w:rFonts w:cs="Arial"/>
                      <w:sz w:val="18"/>
                      <w:szCs w:val="18"/>
                    </w:rPr>
                    <w:t>7,</w:t>
                  </w:r>
                  <w:r w:rsidR="00096582" w:rsidRPr="00631C1B">
                    <w:rPr>
                      <w:rFonts w:cs="Arial"/>
                      <w:sz w:val="18"/>
                      <w:szCs w:val="18"/>
                    </w:rPr>
                    <w:t>533</w:t>
                  </w:r>
                </w:p>
              </w:tc>
              <w:tc>
                <w:tcPr>
                  <w:tcW w:w="1216" w:type="dxa"/>
                  <w:tcBorders>
                    <w:left w:val="single" w:sz="4" w:space="0" w:color="auto"/>
                  </w:tcBorders>
                </w:tcPr>
                <w:p w14:paraId="11B0BF0C" w14:textId="3897814E" w:rsidR="009D3FB3" w:rsidRPr="00631C1B" w:rsidRDefault="009E624F" w:rsidP="009A3F2B">
                  <w:pPr>
                    <w:jc w:val="center"/>
                    <w:rPr>
                      <w:rFonts w:cs="Arial"/>
                      <w:sz w:val="18"/>
                      <w:szCs w:val="18"/>
                    </w:rPr>
                  </w:pPr>
                  <w:r w:rsidRPr="00631C1B">
                    <w:rPr>
                      <w:rFonts w:cs="Arial"/>
                      <w:sz w:val="18"/>
                      <w:szCs w:val="18"/>
                    </w:rPr>
                    <w:t>-2,467</w:t>
                  </w:r>
                </w:p>
              </w:tc>
            </w:tr>
            <w:tr w:rsidR="009D3FB3" w:rsidRPr="00631C1B" w14:paraId="3944FFF2" w14:textId="77777777" w:rsidTr="00D62CE9">
              <w:trPr>
                <w:trHeight w:val="233"/>
              </w:trPr>
              <w:tc>
                <w:tcPr>
                  <w:tcW w:w="1506" w:type="dxa"/>
                  <w:tcBorders>
                    <w:bottom w:val="nil"/>
                    <w:right w:val="single" w:sz="4" w:space="0" w:color="auto"/>
                  </w:tcBorders>
                  <w:vAlign w:val="bottom"/>
                </w:tcPr>
                <w:p w14:paraId="1BE9D23C" w14:textId="77777777" w:rsidR="009D3FB3" w:rsidRPr="00631C1B" w:rsidRDefault="009D3FB3" w:rsidP="009A3F2B">
                  <w:pPr>
                    <w:rPr>
                      <w:rFonts w:cs="Arial"/>
                      <w:b/>
                      <w:color w:val="000000"/>
                      <w:sz w:val="18"/>
                      <w:szCs w:val="18"/>
                    </w:rPr>
                  </w:pPr>
                  <w:r w:rsidRPr="00631C1B">
                    <w:rPr>
                      <w:rFonts w:cs="Arial"/>
                      <w:b/>
                      <w:color w:val="000000"/>
                      <w:sz w:val="18"/>
                      <w:szCs w:val="18"/>
                    </w:rPr>
                    <w:t>Total</w:t>
                  </w:r>
                </w:p>
              </w:tc>
              <w:tc>
                <w:tcPr>
                  <w:tcW w:w="1827" w:type="dxa"/>
                  <w:tcBorders>
                    <w:left w:val="single" w:sz="4" w:space="0" w:color="auto"/>
                    <w:bottom w:val="nil"/>
                    <w:right w:val="single" w:sz="4" w:space="0" w:color="auto"/>
                  </w:tcBorders>
                  <w:vAlign w:val="bottom"/>
                </w:tcPr>
                <w:p w14:paraId="74331040" w14:textId="259779AF" w:rsidR="009D3FB3" w:rsidRPr="00631C1B" w:rsidRDefault="009D3FB3" w:rsidP="009A3F2B">
                  <w:pPr>
                    <w:jc w:val="center"/>
                    <w:rPr>
                      <w:rFonts w:cs="Arial"/>
                      <w:b/>
                      <w:color w:val="000000"/>
                      <w:sz w:val="18"/>
                      <w:szCs w:val="18"/>
                    </w:rPr>
                  </w:pPr>
                  <w:r w:rsidRPr="00631C1B">
                    <w:rPr>
                      <w:rFonts w:cs="Arial"/>
                      <w:b/>
                      <w:color w:val="000000"/>
                      <w:sz w:val="18"/>
                      <w:szCs w:val="18"/>
                    </w:rPr>
                    <w:t>18,000</w:t>
                  </w:r>
                </w:p>
              </w:tc>
              <w:tc>
                <w:tcPr>
                  <w:tcW w:w="1081" w:type="dxa"/>
                  <w:tcBorders>
                    <w:left w:val="single" w:sz="4" w:space="0" w:color="auto"/>
                    <w:bottom w:val="nil"/>
                    <w:right w:val="single" w:sz="4" w:space="0" w:color="auto"/>
                  </w:tcBorders>
                </w:tcPr>
                <w:p w14:paraId="660359E3" w14:textId="3E82EC71" w:rsidR="009D3FB3" w:rsidRPr="00631C1B" w:rsidRDefault="009E624F" w:rsidP="009A3F2B">
                  <w:pPr>
                    <w:jc w:val="center"/>
                    <w:rPr>
                      <w:rFonts w:cs="Arial"/>
                      <w:b/>
                      <w:sz w:val="18"/>
                      <w:szCs w:val="18"/>
                    </w:rPr>
                  </w:pPr>
                  <w:r w:rsidRPr="00631C1B">
                    <w:rPr>
                      <w:rFonts w:cs="Arial"/>
                      <w:b/>
                      <w:sz w:val="18"/>
                      <w:szCs w:val="18"/>
                    </w:rPr>
                    <w:t>14,2</w:t>
                  </w:r>
                  <w:r w:rsidR="00F242B5">
                    <w:rPr>
                      <w:rFonts w:cs="Arial"/>
                      <w:b/>
                      <w:sz w:val="18"/>
                      <w:szCs w:val="18"/>
                    </w:rPr>
                    <w:t>72</w:t>
                  </w:r>
                </w:p>
              </w:tc>
              <w:tc>
                <w:tcPr>
                  <w:tcW w:w="1216" w:type="dxa"/>
                  <w:tcBorders>
                    <w:left w:val="single" w:sz="4" w:space="0" w:color="auto"/>
                  </w:tcBorders>
                </w:tcPr>
                <w:p w14:paraId="299C565F" w14:textId="124281C9" w:rsidR="009D3FB3" w:rsidRPr="00631C1B" w:rsidRDefault="006308AD" w:rsidP="009A3F2B">
                  <w:pPr>
                    <w:jc w:val="center"/>
                    <w:rPr>
                      <w:rFonts w:cs="Arial"/>
                      <w:b/>
                      <w:sz w:val="18"/>
                      <w:szCs w:val="18"/>
                    </w:rPr>
                  </w:pPr>
                  <w:r w:rsidRPr="00631C1B">
                    <w:rPr>
                      <w:rFonts w:cs="Arial"/>
                      <w:b/>
                      <w:sz w:val="18"/>
                      <w:szCs w:val="18"/>
                    </w:rPr>
                    <w:t>-3,7</w:t>
                  </w:r>
                  <w:r w:rsidR="00BC0172">
                    <w:rPr>
                      <w:rFonts w:cs="Arial"/>
                      <w:b/>
                      <w:sz w:val="18"/>
                      <w:szCs w:val="18"/>
                    </w:rPr>
                    <w:t>28</w:t>
                  </w:r>
                </w:p>
              </w:tc>
            </w:tr>
          </w:tbl>
          <w:p w14:paraId="271BCB18" w14:textId="77777777" w:rsidR="006312B5" w:rsidRPr="00631C1B" w:rsidRDefault="006312B5" w:rsidP="009A3F2B">
            <w:pPr>
              <w:pStyle w:val="Image"/>
              <w:keepLines/>
            </w:pPr>
          </w:p>
        </w:tc>
      </w:tr>
      <w:tr w:rsidR="006312B5" w:rsidRPr="00631C1B" w14:paraId="5BE14C0E" w14:textId="77777777" w:rsidTr="00D62CE9">
        <w:trPr>
          <w:trHeight w:val="869"/>
        </w:trPr>
        <w:tc>
          <w:tcPr>
            <w:tcW w:w="6529" w:type="dxa"/>
          </w:tcPr>
          <w:p w14:paraId="0EE17653" w14:textId="031E6F85" w:rsidR="006312B5" w:rsidRPr="00631C1B" w:rsidRDefault="006312B5" w:rsidP="009A3F2B">
            <w:pPr>
              <w:pStyle w:val="Source"/>
              <w:keepLines/>
            </w:pPr>
            <w:r w:rsidRPr="00631C1B">
              <w:t>Source: Creative Scotland / BOP Consulting (20</w:t>
            </w:r>
            <w:r w:rsidR="00F10BBF" w:rsidRPr="00631C1B">
              <w:t>20</w:t>
            </w:r>
            <w:r w:rsidRPr="00631C1B">
              <w:t>)</w:t>
            </w:r>
          </w:p>
          <w:p w14:paraId="7A85036C" w14:textId="77777777" w:rsidR="006312B5" w:rsidRPr="00631C1B" w:rsidRDefault="006312B5" w:rsidP="009A3F2B">
            <w:pPr>
              <w:pStyle w:val="Source"/>
              <w:keepLines/>
            </w:pPr>
          </w:p>
        </w:tc>
      </w:tr>
    </w:tbl>
    <w:p w14:paraId="23CDA457" w14:textId="523D3FA1" w:rsidR="002669BA" w:rsidRPr="00631C1B" w:rsidRDefault="002669BA" w:rsidP="00210C6D">
      <w:pPr>
        <w:pStyle w:val="BodyText"/>
        <w:rPr>
          <w:b/>
          <w:bCs/>
        </w:rPr>
      </w:pPr>
      <w:r w:rsidRPr="00631C1B">
        <w:rPr>
          <w:b/>
          <w:bCs/>
        </w:rPr>
        <w:t>Gender of participants</w:t>
      </w:r>
    </w:p>
    <w:p w14:paraId="54042892" w14:textId="6B1A0BCE" w:rsidR="00210C6D" w:rsidRPr="00631C1B" w:rsidRDefault="00210C6D" w:rsidP="00210C6D">
      <w:pPr>
        <w:pStyle w:val="BodyText"/>
      </w:pPr>
      <w:r w:rsidRPr="00631C1B">
        <w:t>Across the</w:t>
      </w:r>
      <w:r w:rsidR="002669BA" w:rsidRPr="00631C1B">
        <w:t xml:space="preserve"> two funds,</w:t>
      </w:r>
      <w:r w:rsidR="008D2D8F" w:rsidRPr="00631C1B">
        <w:t xml:space="preserve"> in Year 3,</w:t>
      </w:r>
      <w:r w:rsidR="00623380" w:rsidRPr="00631C1B">
        <w:t xml:space="preserve"> </w:t>
      </w:r>
      <w:r w:rsidR="006F5899" w:rsidRPr="00631C1B">
        <w:t>there was a slight female bias in participation</w:t>
      </w:r>
      <w:r w:rsidRPr="00631C1B">
        <w:t xml:space="preserve"> (</w:t>
      </w:r>
      <w:r w:rsidR="00C337D2" w:rsidRPr="00631C1B">
        <w:t>52.1</w:t>
      </w:r>
      <w:r w:rsidRPr="00631C1B">
        <w:t>%)</w:t>
      </w:r>
      <w:r w:rsidR="009915B7" w:rsidRPr="00631C1B">
        <w:t xml:space="preserve"> (Figure </w:t>
      </w:r>
      <w:r w:rsidR="008D2D8F" w:rsidRPr="00631C1B">
        <w:t>3</w:t>
      </w:r>
      <w:r w:rsidR="009915B7" w:rsidRPr="00631C1B">
        <w:t>)</w:t>
      </w:r>
      <w:r w:rsidR="006F5899" w:rsidRPr="00631C1B">
        <w:t>.</w:t>
      </w:r>
      <w:r w:rsidR="008B666E" w:rsidRPr="00631C1B">
        <w:t xml:space="preserve"> </w:t>
      </w:r>
      <w:r w:rsidR="0062519C">
        <w:t>5</w:t>
      </w:r>
      <w:r w:rsidR="008B666E" w:rsidRPr="00631C1B">
        <w:t>% of participants preferred not to disclose their gender</w:t>
      </w:r>
      <w:r w:rsidR="00EC2E56" w:rsidRPr="00631C1B">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01"/>
      </w:tblGrid>
      <w:tr w:rsidR="00210C6D" w:rsidRPr="00631C1B" w14:paraId="7E44EE24" w14:textId="77777777" w:rsidTr="0078663D">
        <w:tc>
          <w:tcPr>
            <w:tcW w:w="7101" w:type="dxa"/>
          </w:tcPr>
          <w:p w14:paraId="3E953CA9" w14:textId="4BC43DC2" w:rsidR="00210C6D" w:rsidRPr="00631C1B" w:rsidRDefault="00210C6D" w:rsidP="0078663D">
            <w:pPr>
              <w:pStyle w:val="Caption"/>
              <w:keepLines/>
            </w:pPr>
            <w:bookmarkStart w:id="18" w:name="_Toc42266738"/>
            <w:bookmarkStart w:id="19" w:name="_Hlk517369842"/>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3</w:t>
            </w:r>
            <w:r w:rsidRPr="00631C1B">
              <w:rPr>
                <w:noProof/>
              </w:rPr>
              <w:fldChar w:fldCharType="end"/>
            </w:r>
            <w:r w:rsidRPr="00631C1B">
              <w:t xml:space="preserve">  Gender breakdown</w:t>
            </w:r>
            <w:r w:rsidR="006312B5" w:rsidRPr="00631C1B">
              <w:t xml:space="preserve"> – Year 3</w:t>
            </w:r>
            <w:bookmarkEnd w:id="18"/>
          </w:p>
        </w:tc>
      </w:tr>
      <w:tr w:rsidR="00210C6D" w:rsidRPr="00631C1B" w14:paraId="3BE88379" w14:textId="77777777" w:rsidTr="0078663D">
        <w:tblPrEx>
          <w:tblCellMar>
            <w:left w:w="108" w:type="dxa"/>
            <w:right w:w="108" w:type="dxa"/>
          </w:tblCellMar>
        </w:tblPrEx>
        <w:trPr>
          <w:trHeight w:val="1701"/>
        </w:trPr>
        <w:tc>
          <w:tcPr>
            <w:tcW w:w="7101" w:type="dxa"/>
          </w:tcPr>
          <w:tbl>
            <w:tblPr>
              <w:tblStyle w:val="BOPtable"/>
              <w:tblW w:w="6885" w:type="dxa"/>
              <w:tblLook w:val="04A0" w:firstRow="1" w:lastRow="0" w:firstColumn="1" w:lastColumn="0" w:noHBand="0" w:noVBand="1"/>
            </w:tblPr>
            <w:tblGrid>
              <w:gridCol w:w="1417"/>
              <w:gridCol w:w="1084"/>
              <w:gridCol w:w="700"/>
              <w:gridCol w:w="726"/>
              <w:gridCol w:w="801"/>
              <w:gridCol w:w="1220"/>
              <w:gridCol w:w="937"/>
            </w:tblGrid>
            <w:tr w:rsidR="00210C6D" w:rsidRPr="00631C1B" w14:paraId="5406C963" w14:textId="77777777" w:rsidTr="00BC0172">
              <w:trPr>
                <w:cnfStyle w:val="100000000000" w:firstRow="1" w:lastRow="0" w:firstColumn="0" w:lastColumn="0" w:oddVBand="0" w:evenVBand="0" w:oddHBand="0" w:evenHBand="0" w:firstRowFirstColumn="0" w:firstRowLastColumn="0" w:lastRowFirstColumn="0" w:lastRowLastColumn="0"/>
                <w:trHeight w:val="191"/>
              </w:trPr>
              <w:tc>
                <w:tcPr>
                  <w:tcW w:w="1417" w:type="dxa"/>
                  <w:tcBorders>
                    <w:right w:val="single" w:sz="4" w:space="0" w:color="auto"/>
                  </w:tcBorders>
                </w:tcPr>
                <w:p w14:paraId="3570D79C" w14:textId="77777777" w:rsidR="00210C6D" w:rsidRPr="00631C1B" w:rsidRDefault="00210C6D" w:rsidP="0078663D">
                  <w:r w:rsidRPr="00631C1B">
                    <w:t>Gender</w:t>
                  </w:r>
                </w:p>
              </w:tc>
              <w:tc>
                <w:tcPr>
                  <w:tcW w:w="1084" w:type="dxa"/>
                  <w:tcBorders>
                    <w:left w:val="single" w:sz="4" w:space="0" w:color="auto"/>
                    <w:right w:val="single" w:sz="4" w:space="0" w:color="auto"/>
                  </w:tcBorders>
                </w:tcPr>
                <w:p w14:paraId="450C5151" w14:textId="77777777" w:rsidR="00210C6D" w:rsidRPr="00631C1B" w:rsidRDefault="00210C6D" w:rsidP="00404F27">
                  <w:pPr>
                    <w:jc w:val="center"/>
                  </w:pPr>
                  <w:r w:rsidRPr="00631C1B">
                    <w:t>Targeted Fund</w:t>
                  </w:r>
                </w:p>
              </w:tc>
              <w:tc>
                <w:tcPr>
                  <w:tcW w:w="700" w:type="dxa"/>
                  <w:tcBorders>
                    <w:left w:val="single" w:sz="4" w:space="0" w:color="auto"/>
                    <w:right w:val="single" w:sz="4" w:space="0" w:color="auto"/>
                  </w:tcBorders>
                </w:tcPr>
                <w:p w14:paraId="04985B82" w14:textId="77777777" w:rsidR="00210C6D" w:rsidRPr="00631C1B" w:rsidRDefault="00210C6D" w:rsidP="00404F27">
                  <w:pPr>
                    <w:jc w:val="center"/>
                  </w:pPr>
                  <w:r w:rsidRPr="00631C1B">
                    <w:t>%</w:t>
                  </w:r>
                </w:p>
              </w:tc>
              <w:tc>
                <w:tcPr>
                  <w:tcW w:w="726" w:type="dxa"/>
                  <w:tcBorders>
                    <w:left w:val="single" w:sz="4" w:space="0" w:color="auto"/>
                    <w:right w:val="single" w:sz="4" w:space="0" w:color="auto"/>
                  </w:tcBorders>
                </w:tcPr>
                <w:p w14:paraId="63FB3DDA" w14:textId="77777777" w:rsidR="00210C6D" w:rsidRPr="00631C1B" w:rsidRDefault="00210C6D" w:rsidP="00404F27">
                  <w:pPr>
                    <w:jc w:val="center"/>
                  </w:pPr>
                  <w:r w:rsidRPr="00631C1B">
                    <w:t>Open Fund</w:t>
                  </w:r>
                </w:p>
              </w:tc>
              <w:tc>
                <w:tcPr>
                  <w:tcW w:w="801" w:type="dxa"/>
                  <w:tcBorders>
                    <w:left w:val="single" w:sz="4" w:space="0" w:color="auto"/>
                    <w:right w:val="single" w:sz="4" w:space="0" w:color="auto"/>
                  </w:tcBorders>
                </w:tcPr>
                <w:p w14:paraId="3880B3CE" w14:textId="77777777" w:rsidR="00210C6D" w:rsidRPr="00631C1B" w:rsidRDefault="00210C6D" w:rsidP="00404F27">
                  <w:pPr>
                    <w:jc w:val="center"/>
                  </w:pPr>
                  <w:r w:rsidRPr="00631C1B">
                    <w:t>%</w:t>
                  </w:r>
                </w:p>
              </w:tc>
              <w:tc>
                <w:tcPr>
                  <w:tcW w:w="1220" w:type="dxa"/>
                  <w:tcBorders>
                    <w:left w:val="single" w:sz="4" w:space="0" w:color="auto"/>
                    <w:right w:val="single" w:sz="4" w:space="0" w:color="auto"/>
                  </w:tcBorders>
                </w:tcPr>
                <w:p w14:paraId="3C7EB6FC" w14:textId="77777777" w:rsidR="00210C6D" w:rsidRPr="00631C1B" w:rsidRDefault="00210C6D" w:rsidP="00404F27">
                  <w:pPr>
                    <w:jc w:val="center"/>
                  </w:pPr>
                  <w:r w:rsidRPr="00631C1B">
                    <w:t>Programme Total</w:t>
                  </w:r>
                </w:p>
              </w:tc>
              <w:tc>
                <w:tcPr>
                  <w:tcW w:w="937" w:type="dxa"/>
                  <w:tcBorders>
                    <w:left w:val="single" w:sz="4" w:space="0" w:color="auto"/>
                  </w:tcBorders>
                </w:tcPr>
                <w:p w14:paraId="643EB085" w14:textId="77777777" w:rsidR="00210C6D" w:rsidRPr="00631C1B" w:rsidRDefault="00210C6D" w:rsidP="00404F27">
                  <w:pPr>
                    <w:jc w:val="center"/>
                  </w:pPr>
                  <w:r w:rsidRPr="00631C1B">
                    <w:t>%</w:t>
                  </w:r>
                </w:p>
              </w:tc>
            </w:tr>
            <w:tr w:rsidR="00C60393" w:rsidRPr="00631C1B" w14:paraId="3307AB07" w14:textId="77777777" w:rsidTr="00BC0172">
              <w:trPr>
                <w:trHeight w:val="191"/>
              </w:trPr>
              <w:tc>
                <w:tcPr>
                  <w:tcW w:w="1417" w:type="dxa"/>
                  <w:tcBorders>
                    <w:right w:val="single" w:sz="4" w:space="0" w:color="auto"/>
                  </w:tcBorders>
                  <w:vAlign w:val="bottom"/>
                </w:tcPr>
                <w:p w14:paraId="2368CA76" w14:textId="77777777" w:rsidR="00C60393" w:rsidRPr="00631C1B" w:rsidRDefault="00C60393" w:rsidP="00C60393">
                  <w:pPr>
                    <w:rPr>
                      <w:rFonts w:cs="Arial"/>
                      <w:sz w:val="18"/>
                      <w:szCs w:val="18"/>
                    </w:rPr>
                  </w:pPr>
                  <w:r w:rsidRPr="00631C1B">
                    <w:rPr>
                      <w:rFonts w:cs="Arial"/>
                      <w:color w:val="000000"/>
                      <w:sz w:val="18"/>
                      <w:szCs w:val="18"/>
                    </w:rPr>
                    <w:t>Male</w:t>
                  </w:r>
                </w:p>
              </w:tc>
              <w:tc>
                <w:tcPr>
                  <w:tcW w:w="1084" w:type="dxa"/>
                  <w:tcBorders>
                    <w:left w:val="single" w:sz="4" w:space="0" w:color="auto"/>
                    <w:right w:val="single" w:sz="4" w:space="0" w:color="auto"/>
                  </w:tcBorders>
                </w:tcPr>
                <w:p w14:paraId="062BCF23" w14:textId="27811FB0" w:rsidR="00C60393" w:rsidRPr="00631C1B" w:rsidRDefault="00804862" w:rsidP="00C60393">
                  <w:pPr>
                    <w:jc w:val="center"/>
                    <w:rPr>
                      <w:rFonts w:cs="Arial"/>
                      <w:sz w:val="18"/>
                      <w:szCs w:val="18"/>
                    </w:rPr>
                  </w:pPr>
                  <w:r w:rsidRPr="00631C1B">
                    <w:rPr>
                      <w:rFonts w:cs="Arial"/>
                      <w:sz w:val="18"/>
                      <w:szCs w:val="18"/>
                    </w:rPr>
                    <w:t>899</w:t>
                  </w:r>
                </w:p>
              </w:tc>
              <w:tc>
                <w:tcPr>
                  <w:tcW w:w="700" w:type="dxa"/>
                  <w:tcBorders>
                    <w:left w:val="single" w:sz="4" w:space="0" w:color="auto"/>
                    <w:right w:val="single" w:sz="4" w:space="0" w:color="auto"/>
                  </w:tcBorders>
                </w:tcPr>
                <w:p w14:paraId="59B62304" w14:textId="2289BD98" w:rsidR="00C60393" w:rsidRPr="00631C1B" w:rsidRDefault="00B066CF" w:rsidP="00C60393">
                  <w:pPr>
                    <w:jc w:val="center"/>
                    <w:rPr>
                      <w:rFonts w:cs="Arial"/>
                      <w:sz w:val="18"/>
                      <w:szCs w:val="18"/>
                    </w:rPr>
                  </w:pPr>
                  <w:r w:rsidRPr="00631C1B">
                    <w:rPr>
                      <w:rFonts w:cs="Arial"/>
                      <w:sz w:val="18"/>
                      <w:szCs w:val="18"/>
                    </w:rPr>
                    <w:t>39.9</w:t>
                  </w:r>
                  <w:r w:rsidR="006B3D04" w:rsidRPr="00631C1B">
                    <w:rPr>
                      <w:rFonts w:cs="Arial"/>
                      <w:sz w:val="18"/>
                      <w:szCs w:val="18"/>
                    </w:rPr>
                    <w:t>%</w:t>
                  </w:r>
                </w:p>
              </w:tc>
              <w:tc>
                <w:tcPr>
                  <w:tcW w:w="726" w:type="dxa"/>
                  <w:tcBorders>
                    <w:left w:val="single" w:sz="4" w:space="0" w:color="auto"/>
                    <w:right w:val="single" w:sz="4" w:space="0" w:color="auto"/>
                  </w:tcBorders>
                </w:tcPr>
                <w:p w14:paraId="3B6A3E39" w14:textId="0396ADDB" w:rsidR="00C60393" w:rsidRPr="00631C1B" w:rsidRDefault="00C60393" w:rsidP="00C60393">
                  <w:pPr>
                    <w:jc w:val="center"/>
                    <w:rPr>
                      <w:rFonts w:cs="Arial"/>
                      <w:sz w:val="18"/>
                      <w:szCs w:val="18"/>
                    </w:rPr>
                  </w:pPr>
                  <w:r w:rsidRPr="00631C1B">
                    <w:rPr>
                      <w:rFonts w:cs="Arial"/>
                      <w:sz w:val="18"/>
                      <w:szCs w:val="18"/>
                    </w:rPr>
                    <w:t>1,434</w:t>
                  </w:r>
                </w:p>
              </w:tc>
              <w:tc>
                <w:tcPr>
                  <w:tcW w:w="801" w:type="dxa"/>
                  <w:tcBorders>
                    <w:left w:val="single" w:sz="4" w:space="0" w:color="auto"/>
                    <w:right w:val="single" w:sz="4" w:space="0" w:color="auto"/>
                  </w:tcBorders>
                </w:tcPr>
                <w:p w14:paraId="75E1EE84" w14:textId="5B937103" w:rsidR="00C60393" w:rsidRPr="00631C1B" w:rsidRDefault="00C60393" w:rsidP="00C60393">
                  <w:pPr>
                    <w:jc w:val="center"/>
                    <w:rPr>
                      <w:rFonts w:cs="Arial"/>
                      <w:sz w:val="18"/>
                      <w:szCs w:val="18"/>
                    </w:rPr>
                  </w:pPr>
                  <w:r w:rsidRPr="00631C1B">
                    <w:rPr>
                      <w:rFonts w:cs="Arial"/>
                      <w:sz w:val="18"/>
                      <w:szCs w:val="18"/>
                    </w:rPr>
                    <w:t>46.2%</w:t>
                  </w:r>
                </w:p>
              </w:tc>
              <w:tc>
                <w:tcPr>
                  <w:tcW w:w="1220" w:type="dxa"/>
                  <w:tcBorders>
                    <w:left w:val="single" w:sz="4" w:space="0" w:color="auto"/>
                    <w:right w:val="single" w:sz="4" w:space="0" w:color="auto"/>
                  </w:tcBorders>
                </w:tcPr>
                <w:p w14:paraId="778827AD" w14:textId="4C5C0F03" w:rsidR="00C60393" w:rsidRPr="00631C1B" w:rsidRDefault="00344244" w:rsidP="00C60393">
                  <w:pPr>
                    <w:jc w:val="center"/>
                    <w:rPr>
                      <w:rFonts w:cs="Arial"/>
                      <w:sz w:val="18"/>
                      <w:szCs w:val="18"/>
                    </w:rPr>
                  </w:pPr>
                  <w:r w:rsidRPr="00631C1B">
                    <w:rPr>
                      <w:rFonts w:cs="Arial"/>
                      <w:sz w:val="18"/>
                      <w:szCs w:val="18"/>
                    </w:rPr>
                    <w:t>2,333</w:t>
                  </w:r>
                </w:p>
              </w:tc>
              <w:tc>
                <w:tcPr>
                  <w:tcW w:w="937" w:type="dxa"/>
                  <w:tcBorders>
                    <w:left w:val="single" w:sz="4" w:space="0" w:color="auto"/>
                  </w:tcBorders>
                </w:tcPr>
                <w:p w14:paraId="3D66FD14" w14:textId="5ABF76C6" w:rsidR="00C60393" w:rsidRPr="00631C1B" w:rsidRDefault="00EE20A6" w:rsidP="00C60393">
                  <w:pPr>
                    <w:jc w:val="center"/>
                    <w:rPr>
                      <w:rFonts w:cs="Arial"/>
                      <w:sz w:val="18"/>
                      <w:szCs w:val="18"/>
                    </w:rPr>
                  </w:pPr>
                  <w:r w:rsidRPr="00631C1B">
                    <w:rPr>
                      <w:rFonts w:cs="Arial"/>
                      <w:sz w:val="18"/>
                      <w:szCs w:val="18"/>
                    </w:rPr>
                    <w:t>43.5%</w:t>
                  </w:r>
                </w:p>
              </w:tc>
            </w:tr>
            <w:tr w:rsidR="00C60393" w:rsidRPr="00631C1B" w14:paraId="0254058C" w14:textId="77777777" w:rsidTr="00BC0172">
              <w:trPr>
                <w:trHeight w:val="191"/>
              </w:trPr>
              <w:tc>
                <w:tcPr>
                  <w:tcW w:w="1417" w:type="dxa"/>
                  <w:tcBorders>
                    <w:right w:val="single" w:sz="4" w:space="0" w:color="auto"/>
                  </w:tcBorders>
                  <w:vAlign w:val="bottom"/>
                </w:tcPr>
                <w:p w14:paraId="4838FF50" w14:textId="77777777" w:rsidR="00C60393" w:rsidRPr="00631C1B" w:rsidRDefault="00C60393" w:rsidP="00C60393">
                  <w:pPr>
                    <w:rPr>
                      <w:rFonts w:cs="Arial"/>
                      <w:sz w:val="18"/>
                      <w:szCs w:val="18"/>
                    </w:rPr>
                  </w:pPr>
                  <w:r w:rsidRPr="00631C1B">
                    <w:rPr>
                      <w:rFonts w:cs="Arial"/>
                      <w:color w:val="000000"/>
                      <w:sz w:val="18"/>
                      <w:szCs w:val="18"/>
                    </w:rPr>
                    <w:t>Female</w:t>
                  </w:r>
                </w:p>
              </w:tc>
              <w:tc>
                <w:tcPr>
                  <w:tcW w:w="1084" w:type="dxa"/>
                  <w:tcBorders>
                    <w:left w:val="single" w:sz="4" w:space="0" w:color="auto"/>
                    <w:right w:val="single" w:sz="4" w:space="0" w:color="auto"/>
                  </w:tcBorders>
                </w:tcPr>
                <w:p w14:paraId="4DA77CC0" w14:textId="6539C842" w:rsidR="00C60393" w:rsidRPr="00631C1B" w:rsidRDefault="00804862" w:rsidP="00C60393">
                  <w:pPr>
                    <w:jc w:val="center"/>
                    <w:rPr>
                      <w:rFonts w:cs="Arial"/>
                      <w:sz w:val="18"/>
                      <w:szCs w:val="18"/>
                    </w:rPr>
                  </w:pPr>
                  <w:r w:rsidRPr="00631C1B">
                    <w:rPr>
                      <w:rFonts w:cs="Arial"/>
                      <w:sz w:val="18"/>
                      <w:szCs w:val="18"/>
                    </w:rPr>
                    <w:t>1,190</w:t>
                  </w:r>
                </w:p>
              </w:tc>
              <w:tc>
                <w:tcPr>
                  <w:tcW w:w="700" w:type="dxa"/>
                  <w:tcBorders>
                    <w:left w:val="single" w:sz="4" w:space="0" w:color="auto"/>
                    <w:right w:val="single" w:sz="4" w:space="0" w:color="auto"/>
                  </w:tcBorders>
                </w:tcPr>
                <w:p w14:paraId="2D699FAD" w14:textId="6E71786C" w:rsidR="00C60393" w:rsidRPr="00631C1B" w:rsidRDefault="006B3D04" w:rsidP="00C60393">
                  <w:pPr>
                    <w:jc w:val="center"/>
                    <w:rPr>
                      <w:rFonts w:cs="Arial"/>
                      <w:sz w:val="18"/>
                      <w:szCs w:val="18"/>
                    </w:rPr>
                  </w:pPr>
                  <w:r w:rsidRPr="00631C1B">
                    <w:rPr>
                      <w:rFonts w:cs="Arial"/>
                      <w:sz w:val="18"/>
                      <w:szCs w:val="18"/>
                    </w:rPr>
                    <w:t>52.</w:t>
                  </w:r>
                  <w:r w:rsidR="00B066CF" w:rsidRPr="00631C1B">
                    <w:rPr>
                      <w:rFonts w:cs="Arial"/>
                      <w:sz w:val="18"/>
                      <w:szCs w:val="18"/>
                    </w:rPr>
                    <w:t>8</w:t>
                  </w:r>
                  <w:r w:rsidRPr="00631C1B">
                    <w:rPr>
                      <w:rFonts w:cs="Arial"/>
                      <w:sz w:val="18"/>
                      <w:szCs w:val="18"/>
                    </w:rPr>
                    <w:t>%</w:t>
                  </w:r>
                </w:p>
              </w:tc>
              <w:tc>
                <w:tcPr>
                  <w:tcW w:w="726" w:type="dxa"/>
                  <w:tcBorders>
                    <w:left w:val="single" w:sz="4" w:space="0" w:color="auto"/>
                    <w:right w:val="single" w:sz="4" w:space="0" w:color="auto"/>
                  </w:tcBorders>
                </w:tcPr>
                <w:p w14:paraId="481F8617" w14:textId="7C1B677D" w:rsidR="00C60393" w:rsidRPr="00631C1B" w:rsidRDefault="00C60393" w:rsidP="00C60393">
                  <w:pPr>
                    <w:jc w:val="center"/>
                    <w:rPr>
                      <w:rFonts w:cs="Arial"/>
                      <w:sz w:val="18"/>
                      <w:szCs w:val="18"/>
                    </w:rPr>
                  </w:pPr>
                  <w:r w:rsidRPr="00631C1B">
                    <w:rPr>
                      <w:rFonts w:cs="Arial"/>
                      <w:sz w:val="18"/>
                      <w:szCs w:val="18"/>
                    </w:rPr>
                    <w:t>1,601</w:t>
                  </w:r>
                </w:p>
              </w:tc>
              <w:tc>
                <w:tcPr>
                  <w:tcW w:w="801" w:type="dxa"/>
                  <w:tcBorders>
                    <w:left w:val="single" w:sz="4" w:space="0" w:color="auto"/>
                    <w:right w:val="single" w:sz="4" w:space="0" w:color="auto"/>
                  </w:tcBorders>
                </w:tcPr>
                <w:p w14:paraId="7C67FCD0" w14:textId="2D86CE9E" w:rsidR="00C60393" w:rsidRPr="00631C1B" w:rsidRDefault="00C60393" w:rsidP="00C60393">
                  <w:pPr>
                    <w:jc w:val="center"/>
                    <w:rPr>
                      <w:rFonts w:cs="Arial"/>
                      <w:sz w:val="18"/>
                      <w:szCs w:val="18"/>
                    </w:rPr>
                  </w:pPr>
                  <w:r w:rsidRPr="00631C1B">
                    <w:rPr>
                      <w:rFonts w:cs="Arial"/>
                      <w:sz w:val="18"/>
                      <w:szCs w:val="18"/>
                    </w:rPr>
                    <w:t>51.6%</w:t>
                  </w:r>
                </w:p>
              </w:tc>
              <w:tc>
                <w:tcPr>
                  <w:tcW w:w="1220" w:type="dxa"/>
                  <w:tcBorders>
                    <w:left w:val="single" w:sz="4" w:space="0" w:color="auto"/>
                    <w:right w:val="single" w:sz="4" w:space="0" w:color="auto"/>
                  </w:tcBorders>
                </w:tcPr>
                <w:p w14:paraId="3C5ABD4F" w14:textId="1723B777" w:rsidR="00C60393" w:rsidRPr="00631C1B" w:rsidRDefault="0032277D" w:rsidP="00C60393">
                  <w:pPr>
                    <w:jc w:val="center"/>
                    <w:rPr>
                      <w:rFonts w:cs="Arial"/>
                      <w:sz w:val="18"/>
                      <w:szCs w:val="18"/>
                    </w:rPr>
                  </w:pPr>
                  <w:r w:rsidRPr="00631C1B">
                    <w:rPr>
                      <w:rFonts w:cs="Arial"/>
                      <w:sz w:val="18"/>
                      <w:szCs w:val="18"/>
                    </w:rPr>
                    <w:t>2,791</w:t>
                  </w:r>
                </w:p>
              </w:tc>
              <w:tc>
                <w:tcPr>
                  <w:tcW w:w="937" w:type="dxa"/>
                  <w:tcBorders>
                    <w:left w:val="single" w:sz="4" w:space="0" w:color="auto"/>
                  </w:tcBorders>
                </w:tcPr>
                <w:p w14:paraId="001D6262" w14:textId="042C8162" w:rsidR="00C60393" w:rsidRPr="00631C1B" w:rsidRDefault="00EE20A6" w:rsidP="00C60393">
                  <w:pPr>
                    <w:jc w:val="center"/>
                    <w:rPr>
                      <w:rFonts w:cs="Arial"/>
                      <w:sz w:val="18"/>
                      <w:szCs w:val="18"/>
                    </w:rPr>
                  </w:pPr>
                  <w:r w:rsidRPr="00631C1B">
                    <w:rPr>
                      <w:rFonts w:cs="Arial"/>
                      <w:sz w:val="18"/>
                      <w:szCs w:val="18"/>
                    </w:rPr>
                    <w:t>52.1%</w:t>
                  </w:r>
                </w:p>
              </w:tc>
            </w:tr>
            <w:tr w:rsidR="00C60393" w:rsidRPr="00631C1B" w14:paraId="5B085A80" w14:textId="77777777" w:rsidTr="00BC0172">
              <w:trPr>
                <w:trHeight w:val="191"/>
              </w:trPr>
              <w:tc>
                <w:tcPr>
                  <w:tcW w:w="1417" w:type="dxa"/>
                  <w:tcBorders>
                    <w:right w:val="single" w:sz="4" w:space="0" w:color="auto"/>
                  </w:tcBorders>
                  <w:vAlign w:val="bottom"/>
                </w:tcPr>
                <w:p w14:paraId="6C658B53" w14:textId="77777777" w:rsidR="00C60393" w:rsidRPr="00631C1B" w:rsidRDefault="00C60393" w:rsidP="00C60393">
                  <w:pPr>
                    <w:rPr>
                      <w:rFonts w:cs="Arial"/>
                      <w:color w:val="000000"/>
                      <w:sz w:val="18"/>
                      <w:szCs w:val="18"/>
                    </w:rPr>
                  </w:pPr>
                  <w:r w:rsidRPr="00631C1B">
                    <w:rPr>
                      <w:rFonts w:cs="Arial"/>
                      <w:color w:val="000000"/>
                      <w:sz w:val="18"/>
                      <w:szCs w:val="18"/>
                    </w:rPr>
                    <w:t>Prefer not to say</w:t>
                  </w:r>
                </w:p>
              </w:tc>
              <w:tc>
                <w:tcPr>
                  <w:tcW w:w="1084" w:type="dxa"/>
                  <w:tcBorders>
                    <w:left w:val="single" w:sz="4" w:space="0" w:color="auto"/>
                    <w:right w:val="single" w:sz="4" w:space="0" w:color="auto"/>
                  </w:tcBorders>
                </w:tcPr>
                <w:p w14:paraId="0E9ED19A" w14:textId="51DE0409" w:rsidR="00C60393" w:rsidRPr="00631C1B" w:rsidRDefault="00804862" w:rsidP="00C60393">
                  <w:pPr>
                    <w:jc w:val="center"/>
                    <w:rPr>
                      <w:rFonts w:cs="Arial"/>
                      <w:color w:val="000000"/>
                      <w:sz w:val="18"/>
                      <w:szCs w:val="18"/>
                    </w:rPr>
                  </w:pPr>
                  <w:r w:rsidRPr="00631C1B">
                    <w:rPr>
                      <w:rFonts w:cs="Arial"/>
                      <w:color w:val="000000"/>
                      <w:sz w:val="18"/>
                      <w:szCs w:val="18"/>
                    </w:rPr>
                    <w:t>193</w:t>
                  </w:r>
                </w:p>
              </w:tc>
              <w:tc>
                <w:tcPr>
                  <w:tcW w:w="700" w:type="dxa"/>
                  <w:tcBorders>
                    <w:left w:val="single" w:sz="4" w:space="0" w:color="auto"/>
                    <w:right w:val="single" w:sz="4" w:space="0" w:color="auto"/>
                  </w:tcBorders>
                </w:tcPr>
                <w:p w14:paraId="7DDBA821" w14:textId="5E2E3338" w:rsidR="00C60393" w:rsidRPr="00631C1B" w:rsidRDefault="003D2D96" w:rsidP="00C60393">
                  <w:pPr>
                    <w:jc w:val="center"/>
                    <w:rPr>
                      <w:rFonts w:cs="Arial"/>
                      <w:sz w:val="18"/>
                      <w:szCs w:val="18"/>
                    </w:rPr>
                  </w:pPr>
                  <w:r w:rsidRPr="00631C1B">
                    <w:rPr>
                      <w:rFonts w:cs="Arial"/>
                      <w:sz w:val="18"/>
                      <w:szCs w:val="18"/>
                    </w:rPr>
                    <w:t>8.6%</w:t>
                  </w:r>
                </w:p>
              </w:tc>
              <w:tc>
                <w:tcPr>
                  <w:tcW w:w="726" w:type="dxa"/>
                  <w:tcBorders>
                    <w:left w:val="single" w:sz="4" w:space="0" w:color="auto"/>
                    <w:right w:val="single" w:sz="4" w:space="0" w:color="auto"/>
                  </w:tcBorders>
                </w:tcPr>
                <w:p w14:paraId="6ECDFA1D" w14:textId="560B901B" w:rsidR="00C60393" w:rsidRPr="00631C1B" w:rsidRDefault="00C60393" w:rsidP="00C60393">
                  <w:pPr>
                    <w:jc w:val="center"/>
                    <w:rPr>
                      <w:rFonts w:cs="Arial"/>
                      <w:sz w:val="18"/>
                      <w:szCs w:val="18"/>
                    </w:rPr>
                  </w:pPr>
                  <w:r w:rsidRPr="00631C1B">
                    <w:rPr>
                      <w:rFonts w:cs="Arial"/>
                      <w:sz w:val="18"/>
                      <w:szCs w:val="18"/>
                    </w:rPr>
                    <w:t>72</w:t>
                  </w:r>
                </w:p>
              </w:tc>
              <w:tc>
                <w:tcPr>
                  <w:tcW w:w="801" w:type="dxa"/>
                  <w:tcBorders>
                    <w:left w:val="single" w:sz="4" w:space="0" w:color="auto"/>
                    <w:right w:val="single" w:sz="4" w:space="0" w:color="auto"/>
                  </w:tcBorders>
                </w:tcPr>
                <w:p w14:paraId="6F011BC0" w14:textId="7A2F5889" w:rsidR="00C60393" w:rsidRPr="00631C1B" w:rsidRDefault="00C60393" w:rsidP="00C60393">
                  <w:pPr>
                    <w:jc w:val="center"/>
                    <w:rPr>
                      <w:rFonts w:cs="Arial"/>
                      <w:sz w:val="18"/>
                      <w:szCs w:val="18"/>
                    </w:rPr>
                  </w:pPr>
                  <w:r w:rsidRPr="00631C1B">
                    <w:rPr>
                      <w:rFonts w:cs="Arial"/>
                      <w:sz w:val="18"/>
                      <w:szCs w:val="18"/>
                    </w:rPr>
                    <w:t>2.3%</w:t>
                  </w:r>
                </w:p>
              </w:tc>
              <w:tc>
                <w:tcPr>
                  <w:tcW w:w="1220" w:type="dxa"/>
                  <w:tcBorders>
                    <w:left w:val="single" w:sz="4" w:space="0" w:color="auto"/>
                    <w:right w:val="single" w:sz="4" w:space="0" w:color="auto"/>
                  </w:tcBorders>
                </w:tcPr>
                <w:p w14:paraId="18928046" w14:textId="1491D6FA" w:rsidR="00C60393" w:rsidRPr="00631C1B" w:rsidRDefault="0032277D" w:rsidP="00C60393">
                  <w:pPr>
                    <w:jc w:val="center"/>
                    <w:rPr>
                      <w:rFonts w:cs="Arial"/>
                      <w:sz w:val="18"/>
                      <w:szCs w:val="18"/>
                    </w:rPr>
                  </w:pPr>
                  <w:r w:rsidRPr="00631C1B">
                    <w:rPr>
                      <w:rFonts w:cs="Arial"/>
                      <w:sz w:val="18"/>
                      <w:szCs w:val="18"/>
                    </w:rPr>
                    <w:t>265</w:t>
                  </w:r>
                </w:p>
              </w:tc>
              <w:tc>
                <w:tcPr>
                  <w:tcW w:w="937" w:type="dxa"/>
                  <w:tcBorders>
                    <w:left w:val="single" w:sz="4" w:space="0" w:color="auto"/>
                  </w:tcBorders>
                </w:tcPr>
                <w:p w14:paraId="474FCA15" w14:textId="669FA492" w:rsidR="00C60393" w:rsidRPr="00631C1B" w:rsidRDefault="00655842" w:rsidP="00C60393">
                  <w:pPr>
                    <w:jc w:val="center"/>
                    <w:rPr>
                      <w:rFonts w:cs="Arial"/>
                      <w:sz w:val="18"/>
                      <w:szCs w:val="18"/>
                    </w:rPr>
                  </w:pPr>
                  <w:r w:rsidRPr="00631C1B">
                    <w:rPr>
                      <w:rFonts w:cs="Arial"/>
                      <w:sz w:val="18"/>
                      <w:szCs w:val="18"/>
                    </w:rPr>
                    <w:t>5.0%</w:t>
                  </w:r>
                </w:p>
              </w:tc>
            </w:tr>
            <w:tr w:rsidR="00C60393" w:rsidRPr="00631C1B" w14:paraId="4B5D0DC0" w14:textId="77777777" w:rsidTr="00BC0172">
              <w:trPr>
                <w:trHeight w:val="191"/>
              </w:trPr>
              <w:tc>
                <w:tcPr>
                  <w:tcW w:w="1417" w:type="dxa"/>
                  <w:tcBorders>
                    <w:bottom w:val="nil"/>
                    <w:right w:val="single" w:sz="4" w:space="0" w:color="auto"/>
                  </w:tcBorders>
                  <w:vAlign w:val="bottom"/>
                </w:tcPr>
                <w:p w14:paraId="3EBE18F6" w14:textId="77777777" w:rsidR="00C60393" w:rsidRPr="00631C1B" w:rsidRDefault="00C60393" w:rsidP="00C60393">
                  <w:pPr>
                    <w:rPr>
                      <w:rFonts w:cs="Arial"/>
                      <w:b/>
                      <w:color w:val="000000"/>
                      <w:sz w:val="18"/>
                      <w:szCs w:val="18"/>
                    </w:rPr>
                  </w:pPr>
                  <w:r w:rsidRPr="00631C1B">
                    <w:rPr>
                      <w:rFonts w:cs="Arial"/>
                      <w:b/>
                      <w:color w:val="000000"/>
                      <w:sz w:val="18"/>
                      <w:szCs w:val="18"/>
                    </w:rPr>
                    <w:t>Total</w:t>
                  </w:r>
                </w:p>
              </w:tc>
              <w:tc>
                <w:tcPr>
                  <w:tcW w:w="1084" w:type="dxa"/>
                  <w:tcBorders>
                    <w:left w:val="single" w:sz="4" w:space="0" w:color="auto"/>
                    <w:bottom w:val="nil"/>
                    <w:right w:val="single" w:sz="4" w:space="0" w:color="auto"/>
                  </w:tcBorders>
                  <w:vAlign w:val="bottom"/>
                </w:tcPr>
                <w:p w14:paraId="1DD07B7F" w14:textId="2201D78D" w:rsidR="00C60393" w:rsidRPr="00631C1B" w:rsidRDefault="00E84719" w:rsidP="00C60393">
                  <w:pPr>
                    <w:jc w:val="center"/>
                    <w:rPr>
                      <w:rFonts w:cs="Arial"/>
                      <w:b/>
                      <w:color w:val="000000"/>
                      <w:sz w:val="18"/>
                      <w:szCs w:val="18"/>
                    </w:rPr>
                  </w:pPr>
                  <w:r w:rsidRPr="00631C1B">
                    <w:rPr>
                      <w:rFonts w:cs="Arial"/>
                      <w:b/>
                      <w:color w:val="000000"/>
                      <w:sz w:val="18"/>
                      <w:szCs w:val="18"/>
                    </w:rPr>
                    <w:t>2,</w:t>
                  </w:r>
                  <w:r w:rsidR="00922AEC">
                    <w:rPr>
                      <w:rFonts w:cs="Arial"/>
                      <w:b/>
                      <w:color w:val="000000"/>
                      <w:sz w:val="18"/>
                      <w:szCs w:val="18"/>
                    </w:rPr>
                    <w:t>282</w:t>
                  </w:r>
                </w:p>
              </w:tc>
              <w:tc>
                <w:tcPr>
                  <w:tcW w:w="700" w:type="dxa"/>
                  <w:tcBorders>
                    <w:left w:val="single" w:sz="4" w:space="0" w:color="auto"/>
                    <w:bottom w:val="nil"/>
                    <w:right w:val="single" w:sz="4" w:space="0" w:color="auto"/>
                  </w:tcBorders>
                </w:tcPr>
                <w:p w14:paraId="621E80B7" w14:textId="77777777" w:rsidR="00C60393" w:rsidRPr="00631C1B" w:rsidRDefault="00C60393" w:rsidP="00C60393">
                  <w:pPr>
                    <w:jc w:val="center"/>
                    <w:rPr>
                      <w:rFonts w:cs="Arial"/>
                      <w:b/>
                      <w:sz w:val="18"/>
                      <w:szCs w:val="18"/>
                    </w:rPr>
                  </w:pPr>
                  <w:r w:rsidRPr="00631C1B">
                    <w:rPr>
                      <w:rFonts w:cs="Arial"/>
                      <w:b/>
                      <w:sz w:val="18"/>
                      <w:szCs w:val="18"/>
                    </w:rPr>
                    <w:t>100%</w:t>
                  </w:r>
                </w:p>
              </w:tc>
              <w:tc>
                <w:tcPr>
                  <w:tcW w:w="726" w:type="dxa"/>
                  <w:tcBorders>
                    <w:left w:val="single" w:sz="4" w:space="0" w:color="auto"/>
                    <w:bottom w:val="nil"/>
                    <w:right w:val="single" w:sz="4" w:space="0" w:color="auto"/>
                  </w:tcBorders>
                </w:tcPr>
                <w:p w14:paraId="473CD48E" w14:textId="66EF699A" w:rsidR="00C60393" w:rsidRPr="00631C1B" w:rsidRDefault="00C60393" w:rsidP="00C60393">
                  <w:pPr>
                    <w:jc w:val="center"/>
                    <w:rPr>
                      <w:rFonts w:cs="Arial"/>
                      <w:b/>
                      <w:bCs/>
                      <w:sz w:val="18"/>
                      <w:szCs w:val="18"/>
                    </w:rPr>
                  </w:pPr>
                  <w:r w:rsidRPr="00631C1B">
                    <w:rPr>
                      <w:rFonts w:cs="Arial"/>
                      <w:b/>
                      <w:sz w:val="18"/>
                      <w:szCs w:val="18"/>
                    </w:rPr>
                    <w:t>3,107</w:t>
                  </w:r>
                </w:p>
              </w:tc>
              <w:tc>
                <w:tcPr>
                  <w:tcW w:w="801" w:type="dxa"/>
                  <w:tcBorders>
                    <w:left w:val="single" w:sz="4" w:space="0" w:color="auto"/>
                    <w:bottom w:val="nil"/>
                    <w:right w:val="single" w:sz="4" w:space="0" w:color="auto"/>
                  </w:tcBorders>
                </w:tcPr>
                <w:p w14:paraId="03B330E5" w14:textId="3ACCA22D" w:rsidR="00C60393" w:rsidRPr="00631C1B" w:rsidRDefault="00C60393" w:rsidP="00C60393">
                  <w:pPr>
                    <w:jc w:val="center"/>
                    <w:rPr>
                      <w:rFonts w:cs="Arial"/>
                      <w:b/>
                      <w:sz w:val="18"/>
                      <w:szCs w:val="18"/>
                    </w:rPr>
                  </w:pPr>
                  <w:r w:rsidRPr="00631C1B">
                    <w:rPr>
                      <w:rFonts w:cs="Arial"/>
                      <w:b/>
                      <w:sz w:val="18"/>
                      <w:szCs w:val="18"/>
                    </w:rPr>
                    <w:t>100%</w:t>
                  </w:r>
                </w:p>
              </w:tc>
              <w:tc>
                <w:tcPr>
                  <w:tcW w:w="1220" w:type="dxa"/>
                  <w:tcBorders>
                    <w:left w:val="single" w:sz="4" w:space="0" w:color="auto"/>
                    <w:bottom w:val="nil"/>
                    <w:right w:val="single" w:sz="4" w:space="0" w:color="auto"/>
                  </w:tcBorders>
                </w:tcPr>
                <w:p w14:paraId="0C67647C" w14:textId="333E2675" w:rsidR="00C60393" w:rsidRPr="00631C1B" w:rsidRDefault="006C573B" w:rsidP="00C60393">
                  <w:pPr>
                    <w:jc w:val="center"/>
                    <w:rPr>
                      <w:rFonts w:cs="Arial"/>
                      <w:b/>
                      <w:sz w:val="18"/>
                      <w:szCs w:val="18"/>
                    </w:rPr>
                  </w:pPr>
                  <w:r w:rsidRPr="00631C1B">
                    <w:rPr>
                      <w:rFonts w:cs="Arial"/>
                      <w:b/>
                      <w:sz w:val="18"/>
                      <w:szCs w:val="18"/>
                    </w:rPr>
                    <w:t>5,3</w:t>
                  </w:r>
                  <w:r w:rsidR="005518D5">
                    <w:rPr>
                      <w:rFonts w:cs="Arial"/>
                      <w:b/>
                      <w:sz w:val="18"/>
                      <w:szCs w:val="18"/>
                    </w:rPr>
                    <w:t>89</w:t>
                  </w:r>
                </w:p>
              </w:tc>
              <w:tc>
                <w:tcPr>
                  <w:tcW w:w="937" w:type="dxa"/>
                  <w:tcBorders>
                    <w:left w:val="single" w:sz="4" w:space="0" w:color="auto"/>
                  </w:tcBorders>
                </w:tcPr>
                <w:p w14:paraId="7586B1B9" w14:textId="77777777" w:rsidR="00C60393" w:rsidRPr="00631C1B" w:rsidRDefault="00C60393" w:rsidP="00C60393">
                  <w:pPr>
                    <w:jc w:val="center"/>
                    <w:rPr>
                      <w:rFonts w:cs="Arial"/>
                      <w:b/>
                      <w:sz w:val="18"/>
                      <w:szCs w:val="18"/>
                    </w:rPr>
                  </w:pPr>
                  <w:r w:rsidRPr="00631C1B">
                    <w:rPr>
                      <w:rFonts w:cs="Arial"/>
                      <w:b/>
                      <w:sz w:val="18"/>
                      <w:szCs w:val="18"/>
                    </w:rPr>
                    <w:t>100%</w:t>
                  </w:r>
                </w:p>
              </w:tc>
            </w:tr>
          </w:tbl>
          <w:p w14:paraId="4BE56F38" w14:textId="77777777" w:rsidR="00210C6D" w:rsidRPr="00631C1B" w:rsidRDefault="00210C6D" w:rsidP="0078663D">
            <w:pPr>
              <w:pStyle w:val="Image"/>
              <w:keepLines/>
            </w:pPr>
          </w:p>
        </w:tc>
      </w:tr>
      <w:tr w:rsidR="00210C6D" w:rsidRPr="00631C1B" w14:paraId="7B598BC8" w14:textId="77777777" w:rsidTr="0078663D">
        <w:tc>
          <w:tcPr>
            <w:tcW w:w="7101" w:type="dxa"/>
          </w:tcPr>
          <w:p w14:paraId="62088169" w14:textId="73693EA4" w:rsidR="00210C6D" w:rsidRPr="00631C1B" w:rsidRDefault="00210C6D" w:rsidP="0078663D">
            <w:pPr>
              <w:pStyle w:val="Source"/>
              <w:keepLines/>
            </w:pPr>
            <w:r w:rsidRPr="00631C1B">
              <w:t>Source: Creative Scotland / BOP Consulting (20</w:t>
            </w:r>
            <w:r w:rsidR="00F10BBF" w:rsidRPr="00631C1B">
              <w:t>20</w:t>
            </w:r>
            <w:r w:rsidRPr="00631C1B">
              <w:t>)</w:t>
            </w:r>
          </w:p>
        </w:tc>
      </w:tr>
    </w:tbl>
    <w:bookmarkEnd w:id="19"/>
    <w:p w14:paraId="7E1C8A35" w14:textId="5F818452" w:rsidR="004647CE" w:rsidRPr="00631C1B" w:rsidRDefault="00DB26BE" w:rsidP="00210C6D">
      <w:pPr>
        <w:pStyle w:val="BodyText"/>
        <w:rPr>
          <w:rStyle w:val="Strong"/>
          <w:b w:val="0"/>
          <w:bCs w:val="0"/>
        </w:rPr>
      </w:pPr>
      <w:r w:rsidRPr="00631C1B">
        <w:t xml:space="preserve">Across the two funds and across all years, </w:t>
      </w:r>
      <w:r w:rsidR="008941E6" w:rsidRPr="00631C1B">
        <w:t>there was a slight female bias in participation (</w:t>
      </w:r>
      <w:r w:rsidR="00FE347B" w:rsidRPr="00631C1B">
        <w:t>56.4</w:t>
      </w:r>
      <w:r w:rsidR="008941E6" w:rsidRPr="00631C1B">
        <w:t xml:space="preserve">%) (Figure </w:t>
      </w:r>
      <w:r w:rsidRPr="00631C1B">
        <w:t>4</w:t>
      </w:r>
      <w:r w:rsidR="008941E6" w:rsidRPr="00631C1B">
        <w:t xml:space="preserve">). </w:t>
      </w:r>
      <w:r w:rsidR="00997953">
        <w:t>2.4</w:t>
      </w:r>
      <w:r w:rsidR="008941E6" w:rsidRPr="00631C1B">
        <w:t>% of participants preferred not to disclose their gender</w:t>
      </w:r>
      <w:r w:rsidR="003563F4" w:rsidRPr="00631C1B">
        <w:t>.</w:t>
      </w:r>
    </w:p>
    <w:tbl>
      <w:tblPr>
        <w:tblStyle w:val="TableGrid"/>
        <w:tblW w:w="7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136"/>
      </w:tblGrid>
      <w:tr w:rsidR="006312B5" w:rsidRPr="00631C1B" w14:paraId="545E267A" w14:textId="77777777" w:rsidTr="00745954">
        <w:trPr>
          <w:trHeight w:val="76"/>
        </w:trPr>
        <w:tc>
          <w:tcPr>
            <w:tcW w:w="7136" w:type="dxa"/>
          </w:tcPr>
          <w:p w14:paraId="6B0FB34B" w14:textId="6779B997" w:rsidR="006312B5" w:rsidRPr="00631C1B" w:rsidRDefault="006312B5" w:rsidP="009A3F2B">
            <w:pPr>
              <w:pStyle w:val="Caption"/>
              <w:keepLines/>
            </w:pPr>
            <w:bookmarkStart w:id="20" w:name="_Toc42266739"/>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4</w:t>
            </w:r>
            <w:r w:rsidRPr="00631C1B">
              <w:rPr>
                <w:noProof/>
              </w:rPr>
              <w:fldChar w:fldCharType="end"/>
            </w:r>
            <w:r w:rsidRPr="00631C1B">
              <w:t xml:space="preserve">  Gender breakdown – All years</w:t>
            </w:r>
            <w:bookmarkEnd w:id="20"/>
          </w:p>
        </w:tc>
      </w:tr>
      <w:tr w:rsidR="006312B5" w:rsidRPr="00631C1B" w14:paraId="4BDF8644" w14:textId="77777777" w:rsidTr="00745954">
        <w:tblPrEx>
          <w:tblCellMar>
            <w:left w:w="108" w:type="dxa"/>
            <w:right w:w="108" w:type="dxa"/>
          </w:tblCellMar>
        </w:tblPrEx>
        <w:trPr>
          <w:trHeight w:val="217"/>
        </w:trPr>
        <w:tc>
          <w:tcPr>
            <w:tcW w:w="7136" w:type="dxa"/>
          </w:tcPr>
          <w:tbl>
            <w:tblPr>
              <w:tblStyle w:val="BOPtable"/>
              <w:tblW w:w="6271" w:type="dxa"/>
              <w:tblLook w:val="04A0" w:firstRow="1" w:lastRow="0" w:firstColumn="1" w:lastColumn="0" w:noHBand="0" w:noVBand="1"/>
            </w:tblPr>
            <w:tblGrid>
              <w:gridCol w:w="1209"/>
              <w:gridCol w:w="1040"/>
              <w:gridCol w:w="673"/>
              <w:gridCol w:w="690"/>
              <w:gridCol w:w="717"/>
              <w:gridCol w:w="1223"/>
              <w:gridCol w:w="719"/>
            </w:tblGrid>
            <w:tr w:rsidR="006312B5" w:rsidRPr="00631C1B" w14:paraId="79F87689" w14:textId="77777777" w:rsidTr="00997953">
              <w:trPr>
                <w:cnfStyle w:val="100000000000" w:firstRow="1" w:lastRow="0" w:firstColumn="0" w:lastColumn="0" w:oddVBand="0" w:evenVBand="0" w:oddHBand="0" w:evenHBand="0" w:firstRowFirstColumn="0" w:firstRowLastColumn="0" w:lastRowFirstColumn="0" w:lastRowLastColumn="0"/>
                <w:trHeight w:val="24"/>
              </w:trPr>
              <w:tc>
                <w:tcPr>
                  <w:tcW w:w="1209" w:type="dxa"/>
                  <w:tcBorders>
                    <w:right w:val="single" w:sz="4" w:space="0" w:color="auto"/>
                  </w:tcBorders>
                </w:tcPr>
                <w:p w14:paraId="3AF6F541" w14:textId="77777777" w:rsidR="006312B5" w:rsidRPr="00631C1B" w:rsidRDefault="006312B5" w:rsidP="009A3F2B">
                  <w:r w:rsidRPr="00631C1B">
                    <w:t>Gender</w:t>
                  </w:r>
                </w:p>
              </w:tc>
              <w:tc>
                <w:tcPr>
                  <w:tcW w:w="1040" w:type="dxa"/>
                  <w:tcBorders>
                    <w:left w:val="single" w:sz="4" w:space="0" w:color="auto"/>
                    <w:right w:val="single" w:sz="4" w:space="0" w:color="auto"/>
                  </w:tcBorders>
                </w:tcPr>
                <w:p w14:paraId="2F2B9DC6" w14:textId="77777777" w:rsidR="006312B5" w:rsidRPr="00631C1B" w:rsidRDefault="006312B5" w:rsidP="009A3F2B">
                  <w:pPr>
                    <w:jc w:val="center"/>
                  </w:pPr>
                  <w:r w:rsidRPr="00631C1B">
                    <w:t>Targeted Fund</w:t>
                  </w:r>
                </w:p>
              </w:tc>
              <w:tc>
                <w:tcPr>
                  <w:tcW w:w="673" w:type="dxa"/>
                  <w:tcBorders>
                    <w:left w:val="single" w:sz="4" w:space="0" w:color="auto"/>
                    <w:right w:val="single" w:sz="4" w:space="0" w:color="auto"/>
                  </w:tcBorders>
                </w:tcPr>
                <w:p w14:paraId="375082A2" w14:textId="77777777" w:rsidR="006312B5" w:rsidRPr="00631C1B" w:rsidRDefault="006312B5" w:rsidP="009A3F2B">
                  <w:pPr>
                    <w:jc w:val="center"/>
                  </w:pPr>
                  <w:r w:rsidRPr="00631C1B">
                    <w:t>%</w:t>
                  </w:r>
                </w:p>
              </w:tc>
              <w:tc>
                <w:tcPr>
                  <w:tcW w:w="690" w:type="dxa"/>
                  <w:tcBorders>
                    <w:left w:val="single" w:sz="4" w:space="0" w:color="auto"/>
                    <w:right w:val="single" w:sz="4" w:space="0" w:color="auto"/>
                  </w:tcBorders>
                </w:tcPr>
                <w:p w14:paraId="26B04231" w14:textId="77777777" w:rsidR="006312B5" w:rsidRPr="00631C1B" w:rsidRDefault="006312B5" w:rsidP="009A3F2B">
                  <w:pPr>
                    <w:jc w:val="center"/>
                  </w:pPr>
                  <w:r w:rsidRPr="00631C1B">
                    <w:t>Open Fund</w:t>
                  </w:r>
                </w:p>
              </w:tc>
              <w:tc>
                <w:tcPr>
                  <w:tcW w:w="717" w:type="dxa"/>
                  <w:tcBorders>
                    <w:left w:val="single" w:sz="4" w:space="0" w:color="auto"/>
                    <w:right w:val="single" w:sz="4" w:space="0" w:color="auto"/>
                  </w:tcBorders>
                </w:tcPr>
                <w:p w14:paraId="52E81443" w14:textId="77777777" w:rsidR="006312B5" w:rsidRPr="00631C1B" w:rsidRDefault="006312B5" w:rsidP="009A3F2B">
                  <w:pPr>
                    <w:jc w:val="center"/>
                  </w:pPr>
                  <w:r w:rsidRPr="00631C1B">
                    <w:t>%</w:t>
                  </w:r>
                </w:p>
              </w:tc>
              <w:tc>
                <w:tcPr>
                  <w:tcW w:w="1223" w:type="dxa"/>
                  <w:tcBorders>
                    <w:left w:val="single" w:sz="4" w:space="0" w:color="auto"/>
                    <w:right w:val="single" w:sz="4" w:space="0" w:color="auto"/>
                  </w:tcBorders>
                </w:tcPr>
                <w:p w14:paraId="2C5E2C9A" w14:textId="77777777" w:rsidR="006312B5" w:rsidRPr="00631C1B" w:rsidRDefault="006312B5" w:rsidP="009A3F2B">
                  <w:pPr>
                    <w:jc w:val="center"/>
                  </w:pPr>
                  <w:r w:rsidRPr="00631C1B">
                    <w:t>Programme Total</w:t>
                  </w:r>
                </w:p>
              </w:tc>
              <w:tc>
                <w:tcPr>
                  <w:tcW w:w="719" w:type="dxa"/>
                  <w:tcBorders>
                    <w:left w:val="single" w:sz="4" w:space="0" w:color="auto"/>
                  </w:tcBorders>
                </w:tcPr>
                <w:p w14:paraId="33E1D6C1" w14:textId="77777777" w:rsidR="006312B5" w:rsidRPr="00631C1B" w:rsidRDefault="006312B5" w:rsidP="009A3F2B">
                  <w:pPr>
                    <w:jc w:val="center"/>
                  </w:pPr>
                  <w:r w:rsidRPr="00631C1B">
                    <w:t>%</w:t>
                  </w:r>
                </w:p>
              </w:tc>
            </w:tr>
            <w:tr w:rsidR="003E4650" w:rsidRPr="00631C1B" w14:paraId="309FB35F" w14:textId="77777777" w:rsidTr="00997953">
              <w:trPr>
                <w:trHeight w:val="24"/>
              </w:trPr>
              <w:tc>
                <w:tcPr>
                  <w:tcW w:w="1209" w:type="dxa"/>
                  <w:tcBorders>
                    <w:right w:val="single" w:sz="4" w:space="0" w:color="auto"/>
                  </w:tcBorders>
                  <w:vAlign w:val="bottom"/>
                </w:tcPr>
                <w:p w14:paraId="4BE87076" w14:textId="77777777" w:rsidR="003E4650" w:rsidRPr="00631C1B" w:rsidRDefault="003E4650" w:rsidP="003E4650">
                  <w:pPr>
                    <w:rPr>
                      <w:rFonts w:cs="Arial"/>
                      <w:sz w:val="18"/>
                      <w:szCs w:val="18"/>
                    </w:rPr>
                  </w:pPr>
                  <w:r w:rsidRPr="00631C1B">
                    <w:rPr>
                      <w:rFonts w:cs="Arial"/>
                      <w:color w:val="000000"/>
                      <w:sz w:val="18"/>
                      <w:szCs w:val="18"/>
                    </w:rPr>
                    <w:t>Male</w:t>
                  </w:r>
                </w:p>
              </w:tc>
              <w:tc>
                <w:tcPr>
                  <w:tcW w:w="1040" w:type="dxa"/>
                  <w:tcBorders>
                    <w:left w:val="single" w:sz="4" w:space="0" w:color="auto"/>
                    <w:right w:val="single" w:sz="4" w:space="0" w:color="auto"/>
                  </w:tcBorders>
                </w:tcPr>
                <w:p w14:paraId="2F2F4119" w14:textId="63C48115" w:rsidR="003E4650" w:rsidRPr="00631C1B" w:rsidRDefault="003E4650" w:rsidP="003E4650">
                  <w:pPr>
                    <w:jc w:val="center"/>
                    <w:rPr>
                      <w:rFonts w:cs="Arial"/>
                      <w:sz w:val="18"/>
                      <w:szCs w:val="18"/>
                    </w:rPr>
                  </w:pPr>
                  <w:r w:rsidRPr="00631C1B">
                    <w:rPr>
                      <w:rFonts w:cs="Arial"/>
                      <w:sz w:val="18"/>
                      <w:szCs w:val="18"/>
                    </w:rPr>
                    <w:t>2,723</w:t>
                  </w:r>
                </w:p>
              </w:tc>
              <w:tc>
                <w:tcPr>
                  <w:tcW w:w="673" w:type="dxa"/>
                  <w:tcBorders>
                    <w:left w:val="single" w:sz="4" w:space="0" w:color="auto"/>
                    <w:right w:val="single" w:sz="4" w:space="0" w:color="auto"/>
                  </w:tcBorders>
                </w:tcPr>
                <w:p w14:paraId="42E13AF1" w14:textId="42E3FE71" w:rsidR="003E4650" w:rsidRPr="00631C1B" w:rsidRDefault="003E4650" w:rsidP="003E4650">
                  <w:pPr>
                    <w:jc w:val="center"/>
                    <w:rPr>
                      <w:rFonts w:cs="Arial"/>
                      <w:sz w:val="18"/>
                      <w:szCs w:val="18"/>
                    </w:rPr>
                  </w:pPr>
                  <w:r w:rsidRPr="00631C1B">
                    <w:rPr>
                      <w:rFonts w:cs="Arial"/>
                      <w:sz w:val="18"/>
                      <w:szCs w:val="18"/>
                    </w:rPr>
                    <w:t>40.5%</w:t>
                  </w:r>
                </w:p>
              </w:tc>
              <w:tc>
                <w:tcPr>
                  <w:tcW w:w="690" w:type="dxa"/>
                  <w:tcBorders>
                    <w:left w:val="single" w:sz="4" w:space="0" w:color="auto"/>
                    <w:right w:val="single" w:sz="4" w:space="0" w:color="auto"/>
                  </w:tcBorders>
                </w:tcPr>
                <w:p w14:paraId="559F07BE" w14:textId="4CC8BD58" w:rsidR="003E4650" w:rsidRPr="00631C1B" w:rsidRDefault="003E4650" w:rsidP="003E4650">
                  <w:pPr>
                    <w:jc w:val="center"/>
                    <w:rPr>
                      <w:rFonts w:cs="Arial"/>
                      <w:sz w:val="18"/>
                      <w:szCs w:val="18"/>
                    </w:rPr>
                  </w:pPr>
                  <w:r w:rsidRPr="00631C1B">
                    <w:rPr>
                      <w:sz w:val="18"/>
                      <w:szCs w:val="18"/>
                    </w:rPr>
                    <w:t>3,169</w:t>
                  </w:r>
                </w:p>
              </w:tc>
              <w:tc>
                <w:tcPr>
                  <w:tcW w:w="717" w:type="dxa"/>
                  <w:tcBorders>
                    <w:left w:val="single" w:sz="4" w:space="0" w:color="auto"/>
                    <w:right w:val="single" w:sz="4" w:space="0" w:color="auto"/>
                  </w:tcBorders>
                </w:tcPr>
                <w:p w14:paraId="50F8D5D8" w14:textId="5002CD8B" w:rsidR="003E4650" w:rsidRPr="00631C1B" w:rsidRDefault="003E4650" w:rsidP="003E4650">
                  <w:pPr>
                    <w:jc w:val="center"/>
                    <w:rPr>
                      <w:rFonts w:cs="Arial"/>
                      <w:sz w:val="18"/>
                      <w:szCs w:val="18"/>
                    </w:rPr>
                  </w:pPr>
                  <w:r w:rsidRPr="00631C1B">
                    <w:rPr>
                      <w:rFonts w:cs="Arial"/>
                      <w:sz w:val="18"/>
                      <w:szCs w:val="18"/>
                    </w:rPr>
                    <w:t>42%</w:t>
                  </w:r>
                </w:p>
              </w:tc>
              <w:tc>
                <w:tcPr>
                  <w:tcW w:w="1223" w:type="dxa"/>
                  <w:tcBorders>
                    <w:left w:val="single" w:sz="4" w:space="0" w:color="auto"/>
                    <w:right w:val="single" w:sz="4" w:space="0" w:color="auto"/>
                  </w:tcBorders>
                </w:tcPr>
                <w:p w14:paraId="7530A6CB" w14:textId="2DD47220" w:rsidR="003E4650" w:rsidRPr="00631C1B" w:rsidRDefault="003E4650" w:rsidP="003E4650">
                  <w:pPr>
                    <w:jc w:val="center"/>
                    <w:rPr>
                      <w:rFonts w:cs="Arial"/>
                      <w:sz w:val="18"/>
                      <w:szCs w:val="18"/>
                    </w:rPr>
                  </w:pPr>
                  <w:r w:rsidRPr="00631C1B">
                    <w:rPr>
                      <w:sz w:val="18"/>
                      <w:szCs w:val="18"/>
                    </w:rPr>
                    <w:t>5,892</w:t>
                  </w:r>
                </w:p>
              </w:tc>
              <w:tc>
                <w:tcPr>
                  <w:tcW w:w="719" w:type="dxa"/>
                  <w:tcBorders>
                    <w:left w:val="single" w:sz="4" w:space="0" w:color="auto"/>
                  </w:tcBorders>
                </w:tcPr>
                <w:p w14:paraId="667BA617" w14:textId="4A2B063F" w:rsidR="003E4650" w:rsidRPr="00631C1B" w:rsidRDefault="003E4650" w:rsidP="003E4650">
                  <w:pPr>
                    <w:jc w:val="center"/>
                    <w:rPr>
                      <w:rFonts w:cs="Arial"/>
                      <w:sz w:val="18"/>
                      <w:szCs w:val="18"/>
                    </w:rPr>
                  </w:pPr>
                  <w:r w:rsidRPr="00631C1B">
                    <w:rPr>
                      <w:sz w:val="18"/>
                      <w:szCs w:val="18"/>
                    </w:rPr>
                    <w:t>41.3%</w:t>
                  </w:r>
                </w:p>
              </w:tc>
            </w:tr>
            <w:tr w:rsidR="003E4650" w:rsidRPr="00631C1B" w14:paraId="183ACCD9" w14:textId="77777777" w:rsidTr="00997953">
              <w:trPr>
                <w:trHeight w:val="24"/>
              </w:trPr>
              <w:tc>
                <w:tcPr>
                  <w:tcW w:w="1209" w:type="dxa"/>
                  <w:tcBorders>
                    <w:right w:val="single" w:sz="4" w:space="0" w:color="auto"/>
                  </w:tcBorders>
                  <w:vAlign w:val="bottom"/>
                </w:tcPr>
                <w:p w14:paraId="79B11661" w14:textId="77777777" w:rsidR="003E4650" w:rsidRPr="00631C1B" w:rsidRDefault="003E4650" w:rsidP="003E4650">
                  <w:pPr>
                    <w:rPr>
                      <w:rFonts w:cs="Arial"/>
                      <w:sz w:val="18"/>
                      <w:szCs w:val="18"/>
                    </w:rPr>
                  </w:pPr>
                  <w:r w:rsidRPr="00631C1B">
                    <w:rPr>
                      <w:rFonts w:cs="Arial"/>
                      <w:color w:val="000000"/>
                      <w:sz w:val="18"/>
                      <w:szCs w:val="18"/>
                    </w:rPr>
                    <w:t>Female</w:t>
                  </w:r>
                </w:p>
              </w:tc>
              <w:tc>
                <w:tcPr>
                  <w:tcW w:w="1040" w:type="dxa"/>
                  <w:tcBorders>
                    <w:left w:val="single" w:sz="4" w:space="0" w:color="auto"/>
                    <w:right w:val="single" w:sz="4" w:space="0" w:color="auto"/>
                  </w:tcBorders>
                </w:tcPr>
                <w:p w14:paraId="19B48366" w14:textId="383EC9CA" w:rsidR="003E4650" w:rsidRPr="00631C1B" w:rsidRDefault="003E4650" w:rsidP="003E4650">
                  <w:pPr>
                    <w:jc w:val="center"/>
                    <w:rPr>
                      <w:rFonts w:cs="Arial"/>
                      <w:sz w:val="18"/>
                      <w:szCs w:val="18"/>
                    </w:rPr>
                  </w:pPr>
                  <w:r w:rsidRPr="00631C1B">
                    <w:rPr>
                      <w:rFonts w:cs="Arial"/>
                      <w:sz w:val="18"/>
                      <w:szCs w:val="18"/>
                    </w:rPr>
                    <w:t>3,744</w:t>
                  </w:r>
                </w:p>
              </w:tc>
              <w:tc>
                <w:tcPr>
                  <w:tcW w:w="673" w:type="dxa"/>
                  <w:tcBorders>
                    <w:left w:val="single" w:sz="4" w:space="0" w:color="auto"/>
                    <w:right w:val="single" w:sz="4" w:space="0" w:color="auto"/>
                  </w:tcBorders>
                </w:tcPr>
                <w:p w14:paraId="3D2192C8" w14:textId="41E68459" w:rsidR="003E4650" w:rsidRPr="00631C1B" w:rsidRDefault="003E4650" w:rsidP="003E4650">
                  <w:pPr>
                    <w:jc w:val="center"/>
                    <w:rPr>
                      <w:rFonts w:cs="Arial"/>
                      <w:sz w:val="18"/>
                      <w:szCs w:val="18"/>
                    </w:rPr>
                  </w:pPr>
                  <w:r w:rsidRPr="00631C1B">
                    <w:rPr>
                      <w:rFonts w:cs="Arial"/>
                      <w:sz w:val="18"/>
                      <w:szCs w:val="18"/>
                    </w:rPr>
                    <w:t>55.7%</w:t>
                  </w:r>
                </w:p>
              </w:tc>
              <w:tc>
                <w:tcPr>
                  <w:tcW w:w="690" w:type="dxa"/>
                  <w:tcBorders>
                    <w:left w:val="single" w:sz="4" w:space="0" w:color="auto"/>
                    <w:right w:val="single" w:sz="4" w:space="0" w:color="auto"/>
                  </w:tcBorders>
                </w:tcPr>
                <w:p w14:paraId="4C08DB5F" w14:textId="4FACBDC5" w:rsidR="003E4650" w:rsidRPr="00631C1B" w:rsidRDefault="003E4650" w:rsidP="003E4650">
                  <w:pPr>
                    <w:jc w:val="center"/>
                    <w:rPr>
                      <w:rFonts w:cs="Arial"/>
                      <w:sz w:val="18"/>
                      <w:szCs w:val="18"/>
                    </w:rPr>
                  </w:pPr>
                  <w:r w:rsidRPr="00631C1B">
                    <w:rPr>
                      <w:sz w:val="18"/>
                      <w:szCs w:val="18"/>
                    </w:rPr>
                    <w:t>4,292</w:t>
                  </w:r>
                </w:p>
              </w:tc>
              <w:tc>
                <w:tcPr>
                  <w:tcW w:w="717" w:type="dxa"/>
                  <w:tcBorders>
                    <w:left w:val="single" w:sz="4" w:space="0" w:color="auto"/>
                    <w:right w:val="single" w:sz="4" w:space="0" w:color="auto"/>
                  </w:tcBorders>
                </w:tcPr>
                <w:p w14:paraId="0AD4A7C1" w14:textId="6061E5CF" w:rsidR="003E4650" w:rsidRPr="00631C1B" w:rsidRDefault="003E4650" w:rsidP="003E4650">
                  <w:pPr>
                    <w:jc w:val="center"/>
                    <w:rPr>
                      <w:rFonts w:cs="Arial"/>
                      <w:sz w:val="18"/>
                      <w:szCs w:val="18"/>
                    </w:rPr>
                  </w:pPr>
                  <w:r w:rsidRPr="00631C1B">
                    <w:rPr>
                      <w:rFonts w:cs="Arial"/>
                      <w:sz w:val="18"/>
                      <w:szCs w:val="18"/>
                    </w:rPr>
                    <w:t>57%</w:t>
                  </w:r>
                </w:p>
              </w:tc>
              <w:tc>
                <w:tcPr>
                  <w:tcW w:w="1223" w:type="dxa"/>
                  <w:tcBorders>
                    <w:left w:val="single" w:sz="4" w:space="0" w:color="auto"/>
                    <w:right w:val="single" w:sz="4" w:space="0" w:color="auto"/>
                  </w:tcBorders>
                </w:tcPr>
                <w:p w14:paraId="1B343B3B" w14:textId="6F9B89CF" w:rsidR="003E4650" w:rsidRPr="00631C1B" w:rsidRDefault="003E4650" w:rsidP="003E4650">
                  <w:pPr>
                    <w:jc w:val="center"/>
                    <w:rPr>
                      <w:rFonts w:cs="Arial"/>
                      <w:sz w:val="18"/>
                      <w:szCs w:val="18"/>
                    </w:rPr>
                  </w:pPr>
                  <w:r w:rsidRPr="00631C1B">
                    <w:rPr>
                      <w:sz w:val="18"/>
                      <w:szCs w:val="18"/>
                    </w:rPr>
                    <w:t>8,036</w:t>
                  </w:r>
                </w:p>
              </w:tc>
              <w:tc>
                <w:tcPr>
                  <w:tcW w:w="719" w:type="dxa"/>
                  <w:tcBorders>
                    <w:left w:val="single" w:sz="4" w:space="0" w:color="auto"/>
                  </w:tcBorders>
                </w:tcPr>
                <w:p w14:paraId="3DD10F0A" w14:textId="3D02ABC2" w:rsidR="003E4650" w:rsidRPr="00631C1B" w:rsidRDefault="003E4650" w:rsidP="003E4650">
                  <w:pPr>
                    <w:jc w:val="center"/>
                    <w:rPr>
                      <w:rFonts w:cs="Arial"/>
                      <w:sz w:val="18"/>
                      <w:szCs w:val="18"/>
                    </w:rPr>
                  </w:pPr>
                  <w:r w:rsidRPr="00631C1B">
                    <w:rPr>
                      <w:sz w:val="18"/>
                      <w:szCs w:val="18"/>
                    </w:rPr>
                    <w:t>56.4%</w:t>
                  </w:r>
                </w:p>
              </w:tc>
            </w:tr>
            <w:tr w:rsidR="003E4650" w:rsidRPr="00631C1B" w14:paraId="3CDDEDF2" w14:textId="77777777" w:rsidTr="00997953">
              <w:trPr>
                <w:trHeight w:val="24"/>
              </w:trPr>
              <w:tc>
                <w:tcPr>
                  <w:tcW w:w="1209" w:type="dxa"/>
                  <w:tcBorders>
                    <w:right w:val="single" w:sz="4" w:space="0" w:color="auto"/>
                  </w:tcBorders>
                  <w:vAlign w:val="bottom"/>
                </w:tcPr>
                <w:p w14:paraId="22D16EFC" w14:textId="77777777" w:rsidR="003E4650" w:rsidRPr="00631C1B" w:rsidRDefault="003E4650" w:rsidP="003E4650">
                  <w:pPr>
                    <w:rPr>
                      <w:rFonts w:cs="Arial"/>
                      <w:color w:val="000000"/>
                      <w:sz w:val="18"/>
                      <w:szCs w:val="18"/>
                    </w:rPr>
                  </w:pPr>
                  <w:r w:rsidRPr="00631C1B">
                    <w:rPr>
                      <w:rFonts w:cs="Arial"/>
                      <w:color w:val="000000"/>
                      <w:sz w:val="18"/>
                      <w:szCs w:val="18"/>
                    </w:rPr>
                    <w:t>Prefer not to say</w:t>
                  </w:r>
                </w:p>
              </w:tc>
              <w:tc>
                <w:tcPr>
                  <w:tcW w:w="1040" w:type="dxa"/>
                  <w:tcBorders>
                    <w:left w:val="single" w:sz="4" w:space="0" w:color="auto"/>
                    <w:right w:val="single" w:sz="4" w:space="0" w:color="auto"/>
                  </w:tcBorders>
                </w:tcPr>
                <w:p w14:paraId="579B7E54" w14:textId="3E34BDA6" w:rsidR="003E4650" w:rsidRPr="00631C1B" w:rsidRDefault="003E4650" w:rsidP="003E4650">
                  <w:pPr>
                    <w:jc w:val="center"/>
                    <w:rPr>
                      <w:rFonts w:cs="Arial"/>
                      <w:color w:val="000000"/>
                      <w:sz w:val="18"/>
                      <w:szCs w:val="18"/>
                    </w:rPr>
                  </w:pPr>
                  <w:r w:rsidRPr="00631C1B">
                    <w:rPr>
                      <w:rFonts w:cs="Arial"/>
                      <w:color w:val="000000"/>
                      <w:sz w:val="18"/>
                      <w:szCs w:val="18"/>
                    </w:rPr>
                    <w:t>264</w:t>
                  </w:r>
                </w:p>
              </w:tc>
              <w:tc>
                <w:tcPr>
                  <w:tcW w:w="673" w:type="dxa"/>
                  <w:tcBorders>
                    <w:left w:val="single" w:sz="4" w:space="0" w:color="auto"/>
                    <w:right w:val="single" w:sz="4" w:space="0" w:color="auto"/>
                  </w:tcBorders>
                </w:tcPr>
                <w:p w14:paraId="034A52FB" w14:textId="0474D31C" w:rsidR="003E4650" w:rsidRPr="00631C1B" w:rsidRDefault="003E4650" w:rsidP="003E4650">
                  <w:pPr>
                    <w:jc w:val="center"/>
                    <w:rPr>
                      <w:rFonts w:cs="Arial"/>
                      <w:sz w:val="18"/>
                      <w:szCs w:val="18"/>
                    </w:rPr>
                  </w:pPr>
                  <w:r w:rsidRPr="00631C1B">
                    <w:rPr>
                      <w:rFonts w:cs="Arial"/>
                      <w:sz w:val="18"/>
                      <w:szCs w:val="18"/>
                    </w:rPr>
                    <w:t>3.9%</w:t>
                  </w:r>
                </w:p>
              </w:tc>
              <w:tc>
                <w:tcPr>
                  <w:tcW w:w="690" w:type="dxa"/>
                  <w:tcBorders>
                    <w:left w:val="single" w:sz="4" w:space="0" w:color="auto"/>
                    <w:right w:val="single" w:sz="4" w:space="0" w:color="auto"/>
                  </w:tcBorders>
                </w:tcPr>
                <w:p w14:paraId="555E2154" w14:textId="4D5086EC" w:rsidR="003E4650" w:rsidRPr="00631C1B" w:rsidRDefault="003E4650" w:rsidP="003E4650">
                  <w:pPr>
                    <w:jc w:val="center"/>
                    <w:rPr>
                      <w:rFonts w:cs="Arial"/>
                      <w:sz w:val="18"/>
                      <w:szCs w:val="18"/>
                    </w:rPr>
                  </w:pPr>
                  <w:r w:rsidRPr="00631C1B">
                    <w:rPr>
                      <w:sz w:val="18"/>
                      <w:szCs w:val="18"/>
                    </w:rPr>
                    <w:t>72</w:t>
                  </w:r>
                </w:p>
              </w:tc>
              <w:tc>
                <w:tcPr>
                  <w:tcW w:w="717" w:type="dxa"/>
                  <w:tcBorders>
                    <w:left w:val="single" w:sz="4" w:space="0" w:color="auto"/>
                    <w:right w:val="single" w:sz="4" w:space="0" w:color="auto"/>
                  </w:tcBorders>
                </w:tcPr>
                <w:p w14:paraId="17316B90" w14:textId="45654529" w:rsidR="003E4650" w:rsidRPr="00631C1B" w:rsidRDefault="003E4650" w:rsidP="003E4650">
                  <w:pPr>
                    <w:jc w:val="center"/>
                    <w:rPr>
                      <w:rFonts w:cs="Arial"/>
                      <w:sz w:val="18"/>
                      <w:szCs w:val="18"/>
                    </w:rPr>
                  </w:pPr>
                  <w:r w:rsidRPr="00631C1B">
                    <w:rPr>
                      <w:rFonts w:cs="Arial"/>
                      <w:sz w:val="18"/>
                      <w:szCs w:val="18"/>
                    </w:rPr>
                    <w:t>1.0%</w:t>
                  </w:r>
                </w:p>
              </w:tc>
              <w:tc>
                <w:tcPr>
                  <w:tcW w:w="1223" w:type="dxa"/>
                  <w:tcBorders>
                    <w:left w:val="single" w:sz="4" w:space="0" w:color="auto"/>
                    <w:right w:val="single" w:sz="4" w:space="0" w:color="auto"/>
                  </w:tcBorders>
                </w:tcPr>
                <w:p w14:paraId="5DF827D6" w14:textId="2A83F823" w:rsidR="003E4650" w:rsidRPr="00631C1B" w:rsidRDefault="003E4650" w:rsidP="003E4650">
                  <w:pPr>
                    <w:jc w:val="center"/>
                    <w:rPr>
                      <w:rFonts w:cs="Arial"/>
                      <w:sz w:val="18"/>
                      <w:szCs w:val="18"/>
                    </w:rPr>
                  </w:pPr>
                  <w:r w:rsidRPr="00631C1B">
                    <w:rPr>
                      <w:sz w:val="18"/>
                      <w:szCs w:val="18"/>
                    </w:rPr>
                    <w:t>336</w:t>
                  </w:r>
                </w:p>
              </w:tc>
              <w:tc>
                <w:tcPr>
                  <w:tcW w:w="719" w:type="dxa"/>
                  <w:tcBorders>
                    <w:left w:val="single" w:sz="4" w:space="0" w:color="auto"/>
                  </w:tcBorders>
                </w:tcPr>
                <w:p w14:paraId="141D233F" w14:textId="23D31535" w:rsidR="003E4650" w:rsidRPr="00631C1B" w:rsidRDefault="003E4650" w:rsidP="003E4650">
                  <w:pPr>
                    <w:jc w:val="center"/>
                    <w:rPr>
                      <w:rFonts w:cs="Arial"/>
                      <w:sz w:val="18"/>
                      <w:szCs w:val="18"/>
                    </w:rPr>
                  </w:pPr>
                  <w:r w:rsidRPr="00631C1B">
                    <w:rPr>
                      <w:sz w:val="18"/>
                      <w:szCs w:val="18"/>
                    </w:rPr>
                    <w:t>2.4%</w:t>
                  </w:r>
                </w:p>
              </w:tc>
            </w:tr>
            <w:tr w:rsidR="003E4650" w:rsidRPr="00842AD4" w14:paraId="06FEAFA6" w14:textId="77777777" w:rsidTr="00997953">
              <w:trPr>
                <w:trHeight w:val="24"/>
              </w:trPr>
              <w:tc>
                <w:tcPr>
                  <w:tcW w:w="1209" w:type="dxa"/>
                  <w:tcBorders>
                    <w:right w:val="single" w:sz="4" w:space="0" w:color="auto"/>
                  </w:tcBorders>
                  <w:vAlign w:val="bottom"/>
                </w:tcPr>
                <w:p w14:paraId="28FE3063" w14:textId="77777777" w:rsidR="003E4650" w:rsidRPr="00842AD4" w:rsidRDefault="003E4650" w:rsidP="003E4650">
                  <w:pPr>
                    <w:rPr>
                      <w:rFonts w:cs="Arial"/>
                      <w:color w:val="000000"/>
                      <w:sz w:val="18"/>
                      <w:szCs w:val="18"/>
                    </w:rPr>
                  </w:pPr>
                  <w:r w:rsidRPr="00842AD4">
                    <w:rPr>
                      <w:rFonts w:cs="Arial"/>
                      <w:color w:val="000000"/>
                      <w:sz w:val="18"/>
                      <w:szCs w:val="18"/>
                    </w:rPr>
                    <w:t>Happy to say</w:t>
                  </w:r>
                </w:p>
              </w:tc>
              <w:tc>
                <w:tcPr>
                  <w:tcW w:w="1040" w:type="dxa"/>
                  <w:tcBorders>
                    <w:left w:val="single" w:sz="4" w:space="0" w:color="auto"/>
                    <w:right w:val="single" w:sz="4" w:space="0" w:color="auto"/>
                  </w:tcBorders>
                </w:tcPr>
                <w:p w14:paraId="3A9306C7" w14:textId="7D2154F8" w:rsidR="003E4650" w:rsidRPr="00842AD4" w:rsidRDefault="00883E66" w:rsidP="003E4650">
                  <w:pPr>
                    <w:jc w:val="center"/>
                    <w:rPr>
                      <w:rFonts w:cs="Arial"/>
                      <w:color w:val="000000"/>
                      <w:sz w:val="18"/>
                      <w:szCs w:val="18"/>
                    </w:rPr>
                  </w:pPr>
                  <w:r w:rsidRPr="00842AD4">
                    <w:rPr>
                      <w:rFonts w:cs="Arial"/>
                      <w:color w:val="000000"/>
                      <w:sz w:val="18"/>
                      <w:szCs w:val="18"/>
                    </w:rPr>
                    <w:t>8</w:t>
                  </w:r>
                </w:p>
              </w:tc>
              <w:tc>
                <w:tcPr>
                  <w:tcW w:w="673" w:type="dxa"/>
                  <w:tcBorders>
                    <w:left w:val="single" w:sz="4" w:space="0" w:color="auto"/>
                    <w:right w:val="single" w:sz="4" w:space="0" w:color="auto"/>
                  </w:tcBorders>
                </w:tcPr>
                <w:p w14:paraId="3577DEB4" w14:textId="0041EFE2" w:rsidR="003E4650" w:rsidRPr="00842AD4" w:rsidRDefault="003E4650" w:rsidP="003E4650">
                  <w:pPr>
                    <w:jc w:val="center"/>
                    <w:rPr>
                      <w:rFonts w:cs="Arial"/>
                      <w:sz w:val="18"/>
                      <w:szCs w:val="18"/>
                    </w:rPr>
                  </w:pPr>
                  <w:r w:rsidRPr="00842AD4">
                    <w:rPr>
                      <w:rFonts w:cs="Arial"/>
                      <w:sz w:val="18"/>
                      <w:szCs w:val="18"/>
                    </w:rPr>
                    <w:t>0.4%</w:t>
                  </w:r>
                </w:p>
              </w:tc>
              <w:tc>
                <w:tcPr>
                  <w:tcW w:w="690" w:type="dxa"/>
                  <w:tcBorders>
                    <w:left w:val="single" w:sz="4" w:space="0" w:color="auto"/>
                    <w:right w:val="single" w:sz="4" w:space="0" w:color="auto"/>
                  </w:tcBorders>
                </w:tcPr>
                <w:p w14:paraId="52A77422" w14:textId="7DAD772C" w:rsidR="003E4650" w:rsidRPr="00842AD4" w:rsidRDefault="003E4650" w:rsidP="003E4650">
                  <w:pPr>
                    <w:jc w:val="center"/>
                    <w:rPr>
                      <w:rFonts w:cs="Arial"/>
                      <w:sz w:val="18"/>
                      <w:szCs w:val="18"/>
                    </w:rPr>
                  </w:pPr>
                  <w:r w:rsidRPr="00842AD4">
                    <w:rPr>
                      <w:sz w:val="18"/>
                      <w:szCs w:val="18"/>
                    </w:rPr>
                    <w:t>0</w:t>
                  </w:r>
                </w:p>
              </w:tc>
              <w:tc>
                <w:tcPr>
                  <w:tcW w:w="717" w:type="dxa"/>
                  <w:tcBorders>
                    <w:left w:val="single" w:sz="4" w:space="0" w:color="auto"/>
                    <w:right w:val="single" w:sz="4" w:space="0" w:color="auto"/>
                  </w:tcBorders>
                </w:tcPr>
                <w:p w14:paraId="7D1F26E5" w14:textId="61A4609D" w:rsidR="003E4650" w:rsidRPr="00842AD4" w:rsidRDefault="003E4650" w:rsidP="003E4650">
                  <w:pPr>
                    <w:jc w:val="center"/>
                    <w:rPr>
                      <w:rFonts w:cs="Arial"/>
                      <w:sz w:val="18"/>
                      <w:szCs w:val="18"/>
                    </w:rPr>
                  </w:pPr>
                  <w:r w:rsidRPr="00842AD4">
                    <w:rPr>
                      <w:rFonts w:cs="Arial"/>
                      <w:sz w:val="18"/>
                      <w:szCs w:val="18"/>
                    </w:rPr>
                    <w:t>0%</w:t>
                  </w:r>
                </w:p>
              </w:tc>
              <w:tc>
                <w:tcPr>
                  <w:tcW w:w="1223" w:type="dxa"/>
                  <w:tcBorders>
                    <w:left w:val="single" w:sz="4" w:space="0" w:color="auto"/>
                    <w:right w:val="single" w:sz="4" w:space="0" w:color="auto"/>
                  </w:tcBorders>
                </w:tcPr>
                <w:p w14:paraId="2F242AA2" w14:textId="61DF2E77" w:rsidR="003E4650" w:rsidRPr="00842AD4" w:rsidRDefault="00B473A7" w:rsidP="003E4650">
                  <w:pPr>
                    <w:jc w:val="center"/>
                    <w:rPr>
                      <w:rFonts w:cs="Arial"/>
                      <w:sz w:val="18"/>
                      <w:szCs w:val="18"/>
                    </w:rPr>
                  </w:pPr>
                  <w:r w:rsidRPr="00842AD4">
                    <w:rPr>
                      <w:sz w:val="18"/>
                      <w:szCs w:val="18"/>
                    </w:rPr>
                    <w:t>8</w:t>
                  </w:r>
                </w:p>
              </w:tc>
              <w:tc>
                <w:tcPr>
                  <w:tcW w:w="719" w:type="dxa"/>
                  <w:tcBorders>
                    <w:left w:val="single" w:sz="4" w:space="0" w:color="auto"/>
                  </w:tcBorders>
                </w:tcPr>
                <w:p w14:paraId="1984640B" w14:textId="270B8847" w:rsidR="003E4650" w:rsidRPr="00842AD4" w:rsidRDefault="003E4650" w:rsidP="003E4650">
                  <w:pPr>
                    <w:jc w:val="center"/>
                    <w:rPr>
                      <w:rFonts w:cs="Arial"/>
                      <w:sz w:val="18"/>
                      <w:szCs w:val="18"/>
                    </w:rPr>
                  </w:pPr>
                  <w:r w:rsidRPr="00842AD4">
                    <w:rPr>
                      <w:sz w:val="18"/>
                      <w:szCs w:val="18"/>
                    </w:rPr>
                    <w:t>0.2%</w:t>
                  </w:r>
                </w:p>
              </w:tc>
            </w:tr>
            <w:tr w:rsidR="003E4650" w:rsidRPr="00631C1B" w14:paraId="36A374AB" w14:textId="77777777" w:rsidTr="00997953">
              <w:trPr>
                <w:trHeight w:val="24"/>
              </w:trPr>
              <w:tc>
                <w:tcPr>
                  <w:tcW w:w="1209" w:type="dxa"/>
                  <w:tcBorders>
                    <w:bottom w:val="nil"/>
                    <w:right w:val="single" w:sz="4" w:space="0" w:color="auto"/>
                  </w:tcBorders>
                  <w:vAlign w:val="bottom"/>
                </w:tcPr>
                <w:p w14:paraId="62BD3997" w14:textId="77777777" w:rsidR="003E4650" w:rsidRPr="00631C1B" w:rsidRDefault="003E4650" w:rsidP="003E4650">
                  <w:pPr>
                    <w:rPr>
                      <w:rFonts w:cs="Arial"/>
                      <w:b/>
                      <w:color w:val="000000"/>
                      <w:sz w:val="18"/>
                      <w:szCs w:val="18"/>
                    </w:rPr>
                  </w:pPr>
                  <w:r w:rsidRPr="00631C1B">
                    <w:rPr>
                      <w:rFonts w:cs="Arial"/>
                      <w:b/>
                      <w:color w:val="000000"/>
                      <w:sz w:val="18"/>
                      <w:szCs w:val="18"/>
                    </w:rPr>
                    <w:t>Total</w:t>
                  </w:r>
                </w:p>
              </w:tc>
              <w:tc>
                <w:tcPr>
                  <w:tcW w:w="1040" w:type="dxa"/>
                  <w:tcBorders>
                    <w:left w:val="single" w:sz="4" w:space="0" w:color="auto"/>
                    <w:bottom w:val="nil"/>
                    <w:right w:val="single" w:sz="4" w:space="0" w:color="auto"/>
                  </w:tcBorders>
                </w:tcPr>
                <w:p w14:paraId="1057414E" w14:textId="52DB74B4" w:rsidR="003E4650" w:rsidRPr="00631C1B" w:rsidRDefault="00AD7A5D" w:rsidP="003E4650">
                  <w:pPr>
                    <w:jc w:val="center"/>
                    <w:rPr>
                      <w:rFonts w:cs="Arial"/>
                      <w:b/>
                      <w:color w:val="000000"/>
                      <w:sz w:val="18"/>
                      <w:szCs w:val="18"/>
                    </w:rPr>
                  </w:pPr>
                  <w:r>
                    <w:rPr>
                      <w:rFonts w:cs="Arial"/>
                      <w:b/>
                      <w:color w:val="000000"/>
                      <w:sz w:val="18"/>
                      <w:szCs w:val="18"/>
                    </w:rPr>
                    <w:t xml:space="preserve"> 6,7</w:t>
                  </w:r>
                  <w:r w:rsidR="00BC0172">
                    <w:rPr>
                      <w:rFonts w:cs="Arial"/>
                      <w:b/>
                      <w:color w:val="000000"/>
                      <w:sz w:val="18"/>
                      <w:szCs w:val="18"/>
                    </w:rPr>
                    <w:t>39</w:t>
                  </w:r>
                </w:p>
              </w:tc>
              <w:tc>
                <w:tcPr>
                  <w:tcW w:w="673" w:type="dxa"/>
                  <w:tcBorders>
                    <w:left w:val="single" w:sz="4" w:space="0" w:color="auto"/>
                    <w:bottom w:val="nil"/>
                    <w:right w:val="single" w:sz="4" w:space="0" w:color="auto"/>
                  </w:tcBorders>
                </w:tcPr>
                <w:p w14:paraId="7E7112F1" w14:textId="2992A11B" w:rsidR="003E4650" w:rsidRPr="00631C1B" w:rsidRDefault="003E4650" w:rsidP="003E4650">
                  <w:pPr>
                    <w:jc w:val="center"/>
                    <w:rPr>
                      <w:rFonts w:cs="Arial"/>
                      <w:b/>
                      <w:sz w:val="18"/>
                      <w:szCs w:val="18"/>
                    </w:rPr>
                  </w:pPr>
                  <w:r w:rsidRPr="00631C1B">
                    <w:rPr>
                      <w:rFonts w:cs="Arial"/>
                      <w:b/>
                      <w:sz w:val="18"/>
                      <w:szCs w:val="18"/>
                    </w:rPr>
                    <w:t>100%</w:t>
                  </w:r>
                </w:p>
              </w:tc>
              <w:tc>
                <w:tcPr>
                  <w:tcW w:w="690" w:type="dxa"/>
                  <w:tcBorders>
                    <w:left w:val="single" w:sz="4" w:space="0" w:color="auto"/>
                    <w:bottom w:val="nil"/>
                    <w:right w:val="single" w:sz="4" w:space="0" w:color="auto"/>
                  </w:tcBorders>
                </w:tcPr>
                <w:p w14:paraId="52F09DF0" w14:textId="71B1196D" w:rsidR="003E4650" w:rsidRPr="00631C1B" w:rsidRDefault="003E4650" w:rsidP="003E4650">
                  <w:pPr>
                    <w:jc w:val="center"/>
                    <w:rPr>
                      <w:rFonts w:cs="Arial"/>
                      <w:b/>
                      <w:sz w:val="18"/>
                      <w:szCs w:val="18"/>
                    </w:rPr>
                  </w:pPr>
                  <w:r w:rsidRPr="00631C1B">
                    <w:rPr>
                      <w:rFonts w:cs="Arial"/>
                      <w:b/>
                      <w:bCs/>
                      <w:sz w:val="18"/>
                      <w:szCs w:val="18"/>
                    </w:rPr>
                    <w:t>7,533</w:t>
                  </w:r>
                </w:p>
              </w:tc>
              <w:tc>
                <w:tcPr>
                  <w:tcW w:w="717" w:type="dxa"/>
                  <w:tcBorders>
                    <w:left w:val="single" w:sz="4" w:space="0" w:color="auto"/>
                    <w:bottom w:val="nil"/>
                    <w:right w:val="single" w:sz="4" w:space="0" w:color="auto"/>
                  </w:tcBorders>
                </w:tcPr>
                <w:p w14:paraId="73E7D9B9" w14:textId="78F61799" w:rsidR="003E4650" w:rsidRPr="00631C1B" w:rsidRDefault="003E4650" w:rsidP="003E4650">
                  <w:pPr>
                    <w:jc w:val="center"/>
                    <w:rPr>
                      <w:rFonts w:cs="Arial"/>
                      <w:b/>
                      <w:sz w:val="18"/>
                      <w:szCs w:val="18"/>
                    </w:rPr>
                  </w:pPr>
                  <w:r w:rsidRPr="00631C1B">
                    <w:rPr>
                      <w:rFonts w:cs="Arial"/>
                      <w:b/>
                      <w:sz w:val="18"/>
                      <w:szCs w:val="18"/>
                    </w:rPr>
                    <w:t>100%</w:t>
                  </w:r>
                </w:p>
              </w:tc>
              <w:tc>
                <w:tcPr>
                  <w:tcW w:w="1223" w:type="dxa"/>
                  <w:tcBorders>
                    <w:left w:val="single" w:sz="4" w:space="0" w:color="auto"/>
                    <w:bottom w:val="nil"/>
                    <w:right w:val="single" w:sz="4" w:space="0" w:color="auto"/>
                  </w:tcBorders>
                </w:tcPr>
                <w:p w14:paraId="209890BC" w14:textId="1D6936A8" w:rsidR="003E4650" w:rsidRPr="00631C1B" w:rsidRDefault="003E4650" w:rsidP="003E4650">
                  <w:pPr>
                    <w:jc w:val="center"/>
                    <w:rPr>
                      <w:rFonts w:cs="Arial"/>
                      <w:b/>
                      <w:bCs/>
                      <w:sz w:val="18"/>
                      <w:szCs w:val="18"/>
                    </w:rPr>
                  </w:pPr>
                  <w:r w:rsidRPr="00631C1B">
                    <w:rPr>
                      <w:b/>
                      <w:bCs/>
                      <w:sz w:val="18"/>
                      <w:szCs w:val="18"/>
                    </w:rPr>
                    <w:t>14,2</w:t>
                  </w:r>
                  <w:r w:rsidR="007F7C84">
                    <w:rPr>
                      <w:b/>
                      <w:bCs/>
                      <w:sz w:val="18"/>
                      <w:szCs w:val="18"/>
                    </w:rPr>
                    <w:t>72</w:t>
                  </w:r>
                </w:p>
              </w:tc>
              <w:tc>
                <w:tcPr>
                  <w:tcW w:w="719" w:type="dxa"/>
                  <w:tcBorders>
                    <w:left w:val="single" w:sz="4" w:space="0" w:color="auto"/>
                  </w:tcBorders>
                </w:tcPr>
                <w:p w14:paraId="17F53FF6" w14:textId="779EAA4E" w:rsidR="003E4650" w:rsidRPr="00631C1B" w:rsidRDefault="003E4650" w:rsidP="003E4650">
                  <w:pPr>
                    <w:jc w:val="center"/>
                    <w:rPr>
                      <w:rFonts w:cs="Arial"/>
                      <w:b/>
                      <w:bCs/>
                      <w:sz w:val="18"/>
                      <w:szCs w:val="18"/>
                    </w:rPr>
                  </w:pPr>
                  <w:r w:rsidRPr="00631C1B">
                    <w:rPr>
                      <w:b/>
                      <w:bCs/>
                      <w:sz w:val="18"/>
                      <w:szCs w:val="18"/>
                    </w:rPr>
                    <w:t>100.0%</w:t>
                  </w:r>
                </w:p>
              </w:tc>
            </w:tr>
          </w:tbl>
          <w:p w14:paraId="37BF95B8" w14:textId="77777777" w:rsidR="006312B5" w:rsidRPr="00631C1B" w:rsidRDefault="006312B5" w:rsidP="009A3F2B">
            <w:pPr>
              <w:pStyle w:val="Image"/>
              <w:keepLines/>
            </w:pPr>
          </w:p>
        </w:tc>
      </w:tr>
      <w:tr w:rsidR="006312B5" w:rsidRPr="00631C1B" w14:paraId="6F4B0B19" w14:textId="77777777" w:rsidTr="00745954">
        <w:trPr>
          <w:trHeight w:val="50"/>
        </w:trPr>
        <w:tc>
          <w:tcPr>
            <w:tcW w:w="7136" w:type="dxa"/>
          </w:tcPr>
          <w:p w14:paraId="592EB10C" w14:textId="29856C5F" w:rsidR="006312B5" w:rsidRPr="00631C1B" w:rsidRDefault="006312B5" w:rsidP="009A3F2B">
            <w:pPr>
              <w:pStyle w:val="Source"/>
              <w:keepLines/>
            </w:pPr>
            <w:r w:rsidRPr="00631C1B">
              <w:t>Source: Creative Scotland / BOP Consulting (20</w:t>
            </w:r>
            <w:r w:rsidR="00F10BBF" w:rsidRPr="00631C1B">
              <w:t>20</w:t>
            </w:r>
            <w:r w:rsidRPr="00631C1B">
              <w:t>)</w:t>
            </w:r>
          </w:p>
        </w:tc>
      </w:tr>
    </w:tbl>
    <w:p w14:paraId="2FFCE60D" w14:textId="77777777" w:rsidR="006312B5" w:rsidRPr="00631C1B" w:rsidRDefault="006312B5" w:rsidP="006312B5">
      <w:pPr>
        <w:pStyle w:val="BodyText"/>
        <w:rPr>
          <w:rStyle w:val="Strong"/>
          <w:rFonts w:cs="Arial"/>
          <w:b w:val="0"/>
        </w:rPr>
      </w:pPr>
    </w:p>
    <w:p w14:paraId="1BFEF093" w14:textId="1FA4761A" w:rsidR="00C0092E" w:rsidRPr="00631C1B" w:rsidRDefault="00C0092E" w:rsidP="00745954">
      <w:pPr>
        <w:pStyle w:val="BodyText"/>
        <w:rPr>
          <w:rStyle w:val="Strong"/>
          <w:rFonts w:cs="Arial"/>
          <w:bCs w:val="0"/>
        </w:rPr>
      </w:pPr>
      <w:r w:rsidRPr="00631C1B">
        <w:rPr>
          <w:rStyle w:val="Strong"/>
          <w:rFonts w:cs="Arial"/>
          <w:bCs w:val="0"/>
        </w:rPr>
        <w:t>Affluence of participants</w:t>
      </w:r>
    </w:p>
    <w:p w14:paraId="4F5B7376" w14:textId="1EEE97DF" w:rsidR="00210C6D" w:rsidRPr="00631C1B" w:rsidRDefault="00A11353" w:rsidP="00745954">
      <w:pPr>
        <w:pStyle w:val="BodyText"/>
      </w:pPr>
      <w:r w:rsidRPr="00631C1B">
        <w:rPr>
          <w:rStyle w:val="Strong"/>
          <w:rFonts w:cs="Arial"/>
          <w:b w:val="0"/>
        </w:rPr>
        <w:t>Ac</w:t>
      </w:r>
      <w:r w:rsidR="00210C6D" w:rsidRPr="00631C1B">
        <w:rPr>
          <w:rStyle w:val="Strong"/>
          <w:rFonts w:cs="Arial"/>
          <w:b w:val="0"/>
        </w:rPr>
        <w:t xml:space="preserve">ross the </w:t>
      </w:r>
      <w:r w:rsidRPr="00631C1B">
        <w:rPr>
          <w:rStyle w:val="Strong"/>
          <w:rFonts w:cs="Arial"/>
          <w:b w:val="0"/>
        </w:rPr>
        <w:t xml:space="preserve">Year 3 </w:t>
      </w:r>
      <w:r w:rsidR="00210C6D" w:rsidRPr="00631C1B">
        <w:rPr>
          <w:rStyle w:val="Strong"/>
          <w:rFonts w:cs="Arial"/>
          <w:b w:val="0"/>
        </w:rPr>
        <w:t xml:space="preserve">Targeted Fund projects, of the </w:t>
      </w:r>
      <w:r w:rsidR="00E9592F" w:rsidRPr="00631C1B">
        <w:rPr>
          <w:rStyle w:val="Strong"/>
          <w:rFonts w:cs="Arial"/>
          <w:b w:val="0"/>
        </w:rPr>
        <w:t>1,723</w:t>
      </w:r>
      <w:r w:rsidR="00147254" w:rsidRPr="00631C1B">
        <w:rPr>
          <w:rStyle w:val="Strong"/>
          <w:rFonts w:cs="Arial"/>
          <w:b w:val="0"/>
        </w:rPr>
        <w:t xml:space="preserve"> </w:t>
      </w:r>
      <w:r w:rsidR="00210C6D" w:rsidRPr="00631C1B">
        <w:rPr>
          <w:rStyle w:val="Strong"/>
          <w:rFonts w:cs="Arial"/>
          <w:b w:val="0"/>
        </w:rPr>
        <w:t xml:space="preserve">participants who provided their postcode and therefore were able to calculate their SIMD ranking, </w:t>
      </w:r>
      <w:r w:rsidR="00E9592F" w:rsidRPr="00631C1B">
        <w:rPr>
          <w:rStyle w:val="Strong"/>
          <w:rFonts w:cs="Arial"/>
          <w:b w:val="0"/>
        </w:rPr>
        <w:t>55.7%</w:t>
      </w:r>
      <w:r w:rsidR="00210C6D" w:rsidRPr="00631C1B">
        <w:rPr>
          <w:rStyle w:val="Strong"/>
          <w:rFonts w:cs="Arial"/>
          <w:b w:val="0"/>
        </w:rPr>
        <w:t xml:space="preserve"> of participants lived within </w:t>
      </w:r>
      <w:r w:rsidR="00210C6D" w:rsidRPr="00631C1B">
        <w:t xml:space="preserve">the 0-20% most deprived areas of Scotland. </w:t>
      </w:r>
      <w:r w:rsidR="00646E56" w:rsidRPr="00631C1B">
        <w:t xml:space="preserve">The vast majority </w:t>
      </w:r>
      <w:r w:rsidR="00FD7DB4" w:rsidRPr="00631C1B">
        <w:t>(</w:t>
      </w:r>
      <w:r w:rsidR="00646E56" w:rsidRPr="00631C1B">
        <w:t>88</w:t>
      </w:r>
      <w:r w:rsidR="00CE02EB" w:rsidRPr="00631C1B">
        <w:t>.3</w:t>
      </w:r>
      <w:r w:rsidR="00210C6D" w:rsidRPr="00631C1B">
        <w:t>%</w:t>
      </w:r>
      <w:r w:rsidR="00FD7DB4" w:rsidRPr="00631C1B">
        <w:t>)</w:t>
      </w:r>
      <w:r w:rsidR="00210C6D" w:rsidRPr="00631C1B">
        <w:t xml:space="preserve"> of the </w:t>
      </w:r>
      <w:r w:rsidRPr="00631C1B">
        <w:t xml:space="preserve">Year 3 </w:t>
      </w:r>
      <w:r w:rsidR="00210C6D" w:rsidRPr="00631C1B">
        <w:t xml:space="preserve">Open Fund </w:t>
      </w:r>
      <w:r w:rsidR="00B6425A" w:rsidRPr="00631C1B">
        <w:t>projects</w:t>
      </w:r>
      <w:r w:rsidR="00210C6D" w:rsidRPr="00631C1B">
        <w:t xml:space="preserve"> were </w:t>
      </w:r>
      <w:r w:rsidR="00B6425A" w:rsidRPr="00631C1B">
        <w:t xml:space="preserve">delivered </w:t>
      </w:r>
      <w:r w:rsidR="00210C6D" w:rsidRPr="00631C1B">
        <w:t>within the 0-20% SIMD range</w:t>
      </w:r>
      <w:r w:rsidR="00210C6D" w:rsidRPr="00631C1B">
        <w:rPr>
          <w:rStyle w:val="FootnoteReference"/>
        </w:rPr>
        <w:footnoteReference w:id="3"/>
      </w:r>
      <w:r w:rsidR="00210C6D" w:rsidRPr="00631C1B">
        <w:t xml:space="preserve">. Across the programme, this </w:t>
      </w:r>
      <w:r w:rsidR="00210C6D" w:rsidRPr="0062519C">
        <w:rPr>
          <w:bCs/>
        </w:rPr>
        <w:t>averaged at</w:t>
      </w:r>
      <w:r w:rsidR="00B6425A" w:rsidRPr="0062519C">
        <w:rPr>
          <w:bCs/>
        </w:rPr>
        <w:t xml:space="preserve"> </w:t>
      </w:r>
      <w:r w:rsidR="00053AD5" w:rsidRPr="0062519C">
        <w:rPr>
          <w:bCs/>
        </w:rPr>
        <w:t>76.6</w:t>
      </w:r>
      <w:r w:rsidR="00210C6D" w:rsidRPr="0062519C">
        <w:rPr>
          <w:bCs/>
        </w:rPr>
        <w:t>% of participants coming from or taking part in the 0-20% most deprived areas of Scotland</w:t>
      </w:r>
      <w:r w:rsidR="00210C6D" w:rsidRPr="00631C1B">
        <w:t>, and jus</w:t>
      </w:r>
      <w:r w:rsidR="00715E38" w:rsidRPr="00631C1B">
        <w:t xml:space="preserve">t </w:t>
      </w:r>
      <w:r w:rsidR="00EE62F0" w:rsidRPr="00631C1B">
        <w:t>13.5%</w:t>
      </w:r>
      <w:r w:rsidR="00715E38" w:rsidRPr="00631C1B">
        <w:t xml:space="preserve"> </w:t>
      </w:r>
      <w:r w:rsidR="00210C6D" w:rsidRPr="00631C1B">
        <w:t xml:space="preserve">from within the 50-100% least deprived areas of Scotland (Figure </w:t>
      </w:r>
      <w:r w:rsidRPr="00631C1B">
        <w:t>5</w:t>
      </w:r>
      <w:r w:rsidR="00215F1C" w:rsidRPr="00631C1B">
        <w:t>)</w:t>
      </w:r>
      <w:r w:rsidR="003E6BDD" w:rsidRPr="00631C1B">
        <w:t>.</w:t>
      </w:r>
      <w:r w:rsidR="000B7F9C" w:rsidRPr="00631C1B">
        <w:t xml:space="preserve"> </w:t>
      </w:r>
    </w:p>
    <w:p w14:paraId="2AF86F15" w14:textId="77777777" w:rsidR="00E14FB5" w:rsidRPr="00631C1B" w:rsidRDefault="00E14FB5" w:rsidP="00491AB1">
      <w:pPr>
        <w:pStyle w:val="BodyText"/>
      </w:pPr>
    </w:p>
    <w:p w14:paraId="04DB54FD" w14:textId="77777777" w:rsidR="00107330" w:rsidRPr="00631C1B" w:rsidRDefault="00107330" w:rsidP="00491AB1">
      <w:pPr>
        <w:pStyle w:val="BodyText"/>
      </w:pPr>
    </w:p>
    <w:p w14:paraId="17CA3AB8" w14:textId="1D71E1B4" w:rsidR="00E14FB5" w:rsidRPr="00631C1B" w:rsidRDefault="00E14FB5" w:rsidP="00491AB1">
      <w:pPr>
        <w:pStyle w:val="Caption"/>
      </w:pPr>
      <w:bookmarkStart w:id="21" w:name="_Toc42266740"/>
      <w:r w:rsidRPr="00631C1B">
        <w:lastRenderedPageBreak/>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Pr="00631C1B">
        <w:rPr>
          <w:noProof/>
        </w:rPr>
        <w:t>5</w:t>
      </w:r>
      <w:r w:rsidRPr="00631C1B">
        <w:rPr>
          <w:noProof/>
        </w:rPr>
        <w:fldChar w:fldCharType="end"/>
      </w:r>
      <w:r w:rsidRPr="00631C1B">
        <w:t xml:space="preserve">  SIMD breakdown (cumulative proportions) – Year 3</w:t>
      </w:r>
      <w:bookmarkEnd w:id="21"/>
    </w:p>
    <w:tbl>
      <w:tblPr>
        <w:tblStyle w:val="BOPtable"/>
        <w:tblW w:w="0" w:type="auto"/>
        <w:tblLayout w:type="fixed"/>
        <w:tblLook w:val="04A0" w:firstRow="1" w:lastRow="0" w:firstColumn="1" w:lastColumn="0" w:noHBand="0" w:noVBand="1"/>
      </w:tblPr>
      <w:tblGrid>
        <w:gridCol w:w="1176"/>
        <w:gridCol w:w="1265"/>
        <w:gridCol w:w="961"/>
        <w:gridCol w:w="1276"/>
        <w:gridCol w:w="851"/>
        <w:gridCol w:w="850"/>
        <w:gridCol w:w="722"/>
      </w:tblGrid>
      <w:tr w:rsidR="00D40D47" w:rsidRPr="00631C1B" w14:paraId="0C60C38D" w14:textId="5A98E96D" w:rsidTr="00C52D96">
        <w:trPr>
          <w:cnfStyle w:val="100000000000" w:firstRow="1" w:lastRow="0" w:firstColumn="0" w:lastColumn="0" w:oddVBand="0" w:evenVBand="0" w:oddHBand="0" w:evenHBand="0" w:firstRowFirstColumn="0" w:firstRowLastColumn="0" w:lastRowFirstColumn="0" w:lastRowLastColumn="0"/>
        </w:trPr>
        <w:tc>
          <w:tcPr>
            <w:tcW w:w="1176" w:type="dxa"/>
            <w:tcBorders>
              <w:right w:val="single" w:sz="4" w:space="0" w:color="auto"/>
            </w:tcBorders>
          </w:tcPr>
          <w:p w14:paraId="5FC9E6B6" w14:textId="77777777" w:rsidR="00D40D47" w:rsidRPr="00631C1B" w:rsidRDefault="00D40D47" w:rsidP="00491AB1">
            <w:r w:rsidRPr="00631C1B">
              <w:rPr>
                <w:rFonts w:cs="Arial"/>
                <w:bCs/>
                <w:color w:val="1F497D" w:themeColor="text2"/>
              </w:rPr>
              <w:t>SIMD breakdown</w:t>
            </w:r>
          </w:p>
        </w:tc>
        <w:tc>
          <w:tcPr>
            <w:tcW w:w="1265" w:type="dxa"/>
            <w:tcBorders>
              <w:left w:val="single" w:sz="4" w:space="0" w:color="auto"/>
              <w:right w:val="single" w:sz="4" w:space="0" w:color="auto"/>
            </w:tcBorders>
          </w:tcPr>
          <w:p w14:paraId="5FA4BD64" w14:textId="77777777" w:rsidR="00D40D47" w:rsidRPr="00631C1B" w:rsidRDefault="00D40D47" w:rsidP="00491AB1">
            <w:pPr>
              <w:jc w:val="center"/>
            </w:pPr>
            <w:r w:rsidRPr="00631C1B">
              <w:rPr>
                <w:rFonts w:cs="Arial"/>
                <w:bCs/>
                <w:color w:val="1F497D" w:themeColor="text2"/>
              </w:rPr>
              <w:t>Targeted Fund Participants</w:t>
            </w:r>
          </w:p>
        </w:tc>
        <w:tc>
          <w:tcPr>
            <w:tcW w:w="961" w:type="dxa"/>
            <w:tcBorders>
              <w:left w:val="single" w:sz="4" w:space="0" w:color="auto"/>
              <w:right w:val="single" w:sz="4" w:space="0" w:color="auto"/>
            </w:tcBorders>
          </w:tcPr>
          <w:p w14:paraId="4E028709" w14:textId="77777777" w:rsidR="00D40D47" w:rsidRPr="00631C1B" w:rsidRDefault="00D40D47" w:rsidP="00491AB1">
            <w:pPr>
              <w:jc w:val="center"/>
            </w:pPr>
            <w:r w:rsidRPr="00631C1B">
              <w:rPr>
                <w:rFonts w:cs="Arial"/>
                <w:bCs/>
                <w:color w:val="1F497D" w:themeColor="text2"/>
              </w:rPr>
              <w:t>%</w:t>
            </w:r>
          </w:p>
        </w:tc>
        <w:tc>
          <w:tcPr>
            <w:tcW w:w="1276" w:type="dxa"/>
            <w:tcBorders>
              <w:left w:val="single" w:sz="4" w:space="0" w:color="auto"/>
              <w:right w:val="single" w:sz="4" w:space="0" w:color="auto"/>
            </w:tcBorders>
          </w:tcPr>
          <w:p w14:paraId="520338B7" w14:textId="77777777" w:rsidR="00D40D47" w:rsidRPr="00631C1B" w:rsidRDefault="00D40D47" w:rsidP="00491AB1">
            <w:pPr>
              <w:jc w:val="center"/>
            </w:pPr>
            <w:r w:rsidRPr="00631C1B">
              <w:rPr>
                <w:rFonts w:cs="Arial"/>
                <w:bCs/>
                <w:color w:val="1F497D" w:themeColor="text2"/>
              </w:rPr>
              <w:t>Open Fund Participants</w:t>
            </w:r>
          </w:p>
        </w:tc>
        <w:tc>
          <w:tcPr>
            <w:tcW w:w="851" w:type="dxa"/>
            <w:tcBorders>
              <w:left w:val="single" w:sz="4" w:space="0" w:color="auto"/>
              <w:right w:val="single" w:sz="4" w:space="0" w:color="auto"/>
            </w:tcBorders>
          </w:tcPr>
          <w:p w14:paraId="60A39327" w14:textId="77777777" w:rsidR="00D40D47" w:rsidRPr="00631C1B" w:rsidRDefault="00D40D47" w:rsidP="00491AB1">
            <w:pPr>
              <w:jc w:val="center"/>
            </w:pPr>
            <w:r w:rsidRPr="00631C1B">
              <w:rPr>
                <w:rFonts w:cs="Arial"/>
                <w:bCs/>
                <w:color w:val="1F497D" w:themeColor="text2"/>
              </w:rPr>
              <w:t>%</w:t>
            </w:r>
          </w:p>
        </w:tc>
        <w:tc>
          <w:tcPr>
            <w:tcW w:w="850" w:type="dxa"/>
            <w:tcBorders>
              <w:left w:val="single" w:sz="4" w:space="0" w:color="auto"/>
            </w:tcBorders>
          </w:tcPr>
          <w:p w14:paraId="7E5134BA" w14:textId="276991EB" w:rsidR="00D40D47" w:rsidRPr="00631C1B" w:rsidRDefault="00D40D47" w:rsidP="00491AB1">
            <w:pPr>
              <w:jc w:val="center"/>
            </w:pPr>
            <w:r w:rsidRPr="00631C1B">
              <w:rPr>
                <w:rFonts w:cs="Arial"/>
                <w:bCs/>
                <w:color w:val="1F497D" w:themeColor="text2"/>
              </w:rPr>
              <w:t>Programme Total</w:t>
            </w:r>
          </w:p>
        </w:tc>
        <w:tc>
          <w:tcPr>
            <w:tcW w:w="722" w:type="dxa"/>
            <w:tcBorders>
              <w:left w:val="single" w:sz="4" w:space="0" w:color="auto"/>
            </w:tcBorders>
          </w:tcPr>
          <w:p w14:paraId="373FE958" w14:textId="180FAD94" w:rsidR="00D40D47" w:rsidRPr="00631C1B" w:rsidRDefault="00D40D47" w:rsidP="00491AB1">
            <w:pPr>
              <w:jc w:val="center"/>
              <w:rPr>
                <w:rFonts w:cs="Arial"/>
                <w:bCs/>
                <w:color w:val="1F497D" w:themeColor="text2"/>
              </w:rPr>
            </w:pPr>
            <w:r w:rsidRPr="00631C1B">
              <w:rPr>
                <w:rFonts w:cs="Arial"/>
                <w:bCs/>
                <w:color w:val="1F497D" w:themeColor="text2"/>
              </w:rPr>
              <w:t>%</w:t>
            </w:r>
          </w:p>
        </w:tc>
      </w:tr>
      <w:tr w:rsidR="00C52D96" w:rsidRPr="00631C1B" w14:paraId="7F5D159E" w14:textId="38DF4A5C" w:rsidTr="00C52D96">
        <w:tc>
          <w:tcPr>
            <w:tcW w:w="1176" w:type="dxa"/>
            <w:tcBorders>
              <w:right w:val="single" w:sz="4" w:space="0" w:color="auto"/>
            </w:tcBorders>
          </w:tcPr>
          <w:p w14:paraId="773AB4FD" w14:textId="77777777" w:rsidR="00C52D96" w:rsidRPr="00631C1B" w:rsidRDefault="00C52D96" w:rsidP="00C52D96">
            <w:pPr>
              <w:rPr>
                <w:sz w:val="18"/>
                <w:szCs w:val="18"/>
              </w:rPr>
            </w:pPr>
            <w:r w:rsidRPr="00631C1B">
              <w:rPr>
                <w:rFonts w:cs="Arial"/>
                <w:color w:val="000000"/>
                <w:sz w:val="18"/>
                <w:szCs w:val="18"/>
              </w:rPr>
              <w:t>0-20%</w:t>
            </w:r>
          </w:p>
        </w:tc>
        <w:tc>
          <w:tcPr>
            <w:tcW w:w="1265" w:type="dxa"/>
            <w:tcBorders>
              <w:left w:val="single" w:sz="4" w:space="0" w:color="auto"/>
              <w:right w:val="single" w:sz="4" w:space="0" w:color="auto"/>
            </w:tcBorders>
          </w:tcPr>
          <w:p w14:paraId="223E33AA" w14:textId="4D8B9433" w:rsidR="00C52D96" w:rsidRPr="00631C1B" w:rsidRDefault="00C52D96" w:rsidP="00C52D96">
            <w:pPr>
              <w:jc w:val="center"/>
              <w:rPr>
                <w:sz w:val="18"/>
                <w:szCs w:val="18"/>
              </w:rPr>
            </w:pPr>
            <w:r w:rsidRPr="00631C1B">
              <w:rPr>
                <w:sz w:val="18"/>
                <w:szCs w:val="18"/>
              </w:rPr>
              <w:t>960</w:t>
            </w:r>
          </w:p>
        </w:tc>
        <w:tc>
          <w:tcPr>
            <w:tcW w:w="961" w:type="dxa"/>
            <w:tcBorders>
              <w:left w:val="single" w:sz="4" w:space="0" w:color="auto"/>
              <w:right w:val="single" w:sz="4" w:space="0" w:color="auto"/>
            </w:tcBorders>
          </w:tcPr>
          <w:p w14:paraId="4750CE02" w14:textId="7EC1382C" w:rsidR="00C52D96" w:rsidRPr="00631C1B" w:rsidRDefault="00C52D96" w:rsidP="00C52D96">
            <w:pPr>
              <w:jc w:val="center"/>
              <w:rPr>
                <w:sz w:val="18"/>
                <w:szCs w:val="18"/>
              </w:rPr>
            </w:pPr>
            <w:r w:rsidRPr="00631C1B">
              <w:rPr>
                <w:sz w:val="18"/>
                <w:szCs w:val="18"/>
              </w:rPr>
              <w:t>55.7%</w:t>
            </w:r>
          </w:p>
        </w:tc>
        <w:tc>
          <w:tcPr>
            <w:tcW w:w="1276" w:type="dxa"/>
            <w:tcBorders>
              <w:left w:val="single" w:sz="4" w:space="0" w:color="auto"/>
              <w:right w:val="single" w:sz="4" w:space="0" w:color="auto"/>
            </w:tcBorders>
          </w:tcPr>
          <w:p w14:paraId="01FC06FC" w14:textId="4E4ACDB3" w:rsidR="00C52D96" w:rsidRPr="00631C1B" w:rsidRDefault="00C52D96" w:rsidP="00C52D96">
            <w:pPr>
              <w:jc w:val="center"/>
              <w:rPr>
                <w:sz w:val="18"/>
                <w:szCs w:val="18"/>
              </w:rPr>
            </w:pPr>
            <w:r w:rsidRPr="00631C1B">
              <w:rPr>
                <w:sz w:val="18"/>
                <w:szCs w:val="18"/>
              </w:rPr>
              <w:t>2,742</w:t>
            </w:r>
          </w:p>
        </w:tc>
        <w:tc>
          <w:tcPr>
            <w:tcW w:w="851" w:type="dxa"/>
            <w:tcBorders>
              <w:left w:val="single" w:sz="4" w:space="0" w:color="auto"/>
              <w:right w:val="single" w:sz="4" w:space="0" w:color="auto"/>
            </w:tcBorders>
          </w:tcPr>
          <w:p w14:paraId="3CA4A65F" w14:textId="26C21B9A" w:rsidR="00C52D96" w:rsidRPr="00631C1B" w:rsidRDefault="00C52D96" w:rsidP="00C52D96">
            <w:pPr>
              <w:jc w:val="center"/>
              <w:rPr>
                <w:sz w:val="18"/>
                <w:szCs w:val="18"/>
              </w:rPr>
            </w:pPr>
            <w:r w:rsidRPr="00631C1B">
              <w:rPr>
                <w:sz w:val="18"/>
                <w:szCs w:val="18"/>
              </w:rPr>
              <w:t>88.3%</w:t>
            </w:r>
          </w:p>
        </w:tc>
        <w:tc>
          <w:tcPr>
            <w:tcW w:w="850" w:type="dxa"/>
            <w:tcBorders>
              <w:left w:val="single" w:sz="4" w:space="0" w:color="auto"/>
            </w:tcBorders>
          </w:tcPr>
          <w:p w14:paraId="138F6687" w14:textId="2D2C8329" w:rsidR="00C52D96" w:rsidRPr="00631C1B" w:rsidRDefault="00C52D96" w:rsidP="00C52D96">
            <w:pPr>
              <w:jc w:val="center"/>
              <w:rPr>
                <w:sz w:val="18"/>
                <w:szCs w:val="18"/>
              </w:rPr>
            </w:pPr>
            <w:r w:rsidRPr="00631C1B">
              <w:rPr>
                <w:sz w:val="18"/>
                <w:szCs w:val="18"/>
              </w:rPr>
              <w:t>3,702</w:t>
            </w:r>
          </w:p>
        </w:tc>
        <w:tc>
          <w:tcPr>
            <w:tcW w:w="722" w:type="dxa"/>
            <w:tcBorders>
              <w:left w:val="single" w:sz="4" w:space="0" w:color="auto"/>
            </w:tcBorders>
          </w:tcPr>
          <w:p w14:paraId="69348615" w14:textId="1FB07D29" w:rsidR="00C52D96" w:rsidRPr="00631C1B" w:rsidRDefault="00C52D96" w:rsidP="00C52D96">
            <w:pPr>
              <w:jc w:val="center"/>
              <w:rPr>
                <w:sz w:val="18"/>
                <w:szCs w:val="18"/>
              </w:rPr>
            </w:pPr>
            <w:r w:rsidRPr="00631C1B">
              <w:rPr>
                <w:sz w:val="18"/>
                <w:szCs w:val="18"/>
              </w:rPr>
              <w:t>76.6%</w:t>
            </w:r>
          </w:p>
        </w:tc>
      </w:tr>
      <w:tr w:rsidR="00C52D96" w:rsidRPr="00631C1B" w14:paraId="0FE77B77" w14:textId="0AD0A025" w:rsidTr="00C52D96">
        <w:tc>
          <w:tcPr>
            <w:tcW w:w="1176" w:type="dxa"/>
            <w:tcBorders>
              <w:right w:val="single" w:sz="4" w:space="0" w:color="auto"/>
            </w:tcBorders>
          </w:tcPr>
          <w:p w14:paraId="311340AA" w14:textId="77777777" w:rsidR="00C52D96" w:rsidRPr="00631C1B" w:rsidRDefault="00C52D96" w:rsidP="00C52D96">
            <w:pPr>
              <w:rPr>
                <w:sz w:val="18"/>
                <w:szCs w:val="18"/>
              </w:rPr>
            </w:pPr>
            <w:r w:rsidRPr="00631C1B">
              <w:rPr>
                <w:rFonts w:cs="Arial"/>
                <w:color w:val="000000"/>
                <w:sz w:val="18"/>
                <w:szCs w:val="18"/>
              </w:rPr>
              <w:t>0-30%</w:t>
            </w:r>
          </w:p>
        </w:tc>
        <w:tc>
          <w:tcPr>
            <w:tcW w:w="1265" w:type="dxa"/>
            <w:tcBorders>
              <w:left w:val="single" w:sz="4" w:space="0" w:color="auto"/>
              <w:right w:val="single" w:sz="4" w:space="0" w:color="auto"/>
            </w:tcBorders>
          </w:tcPr>
          <w:p w14:paraId="4AA493BF" w14:textId="2F123D59" w:rsidR="00C52D96" w:rsidRPr="00631C1B" w:rsidRDefault="00C52D96" w:rsidP="00C52D96">
            <w:pPr>
              <w:jc w:val="center"/>
              <w:rPr>
                <w:sz w:val="18"/>
                <w:szCs w:val="18"/>
              </w:rPr>
            </w:pPr>
            <w:r w:rsidRPr="00631C1B">
              <w:rPr>
                <w:sz w:val="18"/>
                <w:szCs w:val="18"/>
              </w:rPr>
              <w:t>1,048</w:t>
            </w:r>
          </w:p>
        </w:tc>
        <w:tc>
          <w:tcPr>
            <w:tcW w:w="961" w:type="dxa"/>
            <w:tcBorders>
              <w:left w:val="single" w:sz="4" w:space="0" w:color="auto"/>
              <w:right w:val="single" w:sz="4" w:space="0" w:color="auto"/>
            </w:tcBorders>
          </w:tcPr>
          <w:p w14:paraId="26C4E5FF" w14:textId="69C845C3" w:rsidR="00C52D96" w:rsidRPr="00631C1B" w:rsidRDefault="00C52D96" w:rsidP="00C52D96">
            <w:pPr>
              <w:jc w:val="center"/>
              <w:rPr>
                <w:sz w:val="18"/>
                <w:szCs w:val="18"/>
              </w:rPr>
            </w:pPr>
            <w:r w:rsidRPr="00631C1B">
              <w:rPr>
                <w:sz w:val="18"/>
                <w:szCs w:val="18"/>
              </w:rPr>
              <w:t>60.8%</w:t>
            </w:r>
          </w:p>
        </w:tc>
        <w:tc>
          <w:tcPr>
            <w:tcW w:w="1276" w:type="dxa"/>
            <w:tcBorders>
              <w:left w:val="single" w:sz="4" w:space="0" w:color="auto"/>
              <w:right w:val="single" w:sz="4" w:space="0" w:color="auto"/>
            </w:tcBorders>
          </w:tcPr>
          <w:p w14:paraId="6AB838C8" w14:textId="208EEABE" w:rsidR="00C52D96" w:rsidRPr="00631C1B" w:rsidRDefault="00C52D96" w:rsidP="00C52D96">
            <w:pPr>
              <w:jc w:val="center"/>
              <w:rPr>
                <w:sz w:val="18"/>
                <w:szCs w:val="18"/>
              </w:rPr>
            </w:pPr>
            <w:r w:rsidRPr="00631C1B">
              <w:rPr>
                <w:sz w:val="18"/>
                <w:szCs w:val="18"/>
              </w:rPr>
              <w:t>2,845</w:t>
            </w:r>
          </w:p>
        </w:tc>
        <w:tc>
          <w:tcPr>
            <w:tcW w:w="851" w:type="dxa"/>
            <w:tcBorders>
              <w:left w:val="single" w:sz="4" w:space="0" w:color="auto"/>
              <w:right w:val="single" w:sz="4" w:space="0" w:color="auto"/>
            </w:tcBorders>
          </w:tcPr>
          <w:p w14:paraId="386745FF" w14:textId="25D034F2" w:rsidR="00C52D96" w:rsidRPr="00631C1B" w:rsidRDefault="00C52D96" w:rsidP="00C52D96">
            <w:pPr>
              <w:jc w:val="center"/>
              <w:rPr>
                <w:sz w:val="18"/>
                <w:szCs w:val="18"/>
              </w:rPr>
            </w:pPr>
            <w:r w:rsidRPr="00631C1B">
              <w:rPr>
                <w:sz w:val="18"/>
                <w:szCs w:val="18"/>
              </w:rPr>
              <w:t>91.6%</w:t>
            </w:r>
          </w:p>
        </w:tc>
        <w:tc>
          <w:tcPr>
            <w:tcW w:w="850" w:type="dxa"/>
            <w:tcBorders>
              <w:left w:val="single" w:sz="4" w:space="0" w:color="auto"/>
            </w:tcBorders>
          </w:tcPr>
          <w:p w14:paraId="6CF50C58" w14:textId="75C521F8" w:rsidR="00C52D96" w:rsidRPr="00631C1B" w:rsidRDefault="00C52D96" w:rsidP="00C52D96">
            <w:pPr>
              <w:jc w:val="center"/>
              <w:rPr>
                <w:sz w:val="18"/>
                <w:szCs w:val="18"/>
              </w:rPr>
            </w:pPr>
            <w:r w:rsidRPr="00631C1B">
              <w:rPr>
                <w:sz w:val="18"/>
                <w:szCs w:val="18"/>
              </w:rPr>
              <w:t>3,893</w:t>
            </w:r>
          </w:p>
        </w:tc>
        <w:tc>
          <w:tcPr>
            <w:tcW w:w="722" w:type="dxa"/>
            <w:tcBorders>
              <w:left w:val="single" w:sz="4" w:space="0" w:color="auto"/>
            </w:tcBorders>
          </w:tcPr>
          <w:p w14:paraId="009C5076" w14:textId="26B5158A" w:rsidR="00C52D96" w:rsidRPr="00631C1B" w:rsidRDefault="00C52D96" w:rsidP="00C52D96">
            <w:pPr>
              <w:jc w:val="center"/>
              <w:rPr>
                <w:sz w:val="18"/>
                <w:szCs w:val="18"/>
              </w:rPr>
            </w:pPr>
            <w:r w:rsidRPr="00631C1B">
              <w:rPr>
                <w:sz w:val="18"/>
                <w:szCs w:val="18"/>
              </w:rPr>
              <w:t>80.6%</w:t>
            </w:r>
          </w:p>
        </w:tc>
      </w:tr>
      <w:tr w:rsidR="00C52D96" w:rsidRPr="00631C1B" w14:paraId="5B889F2A" w14:textId="468B428F" w:rsidTr="00C52D96">
        <w:tc>
          <w:tcPr>
            <w:tcW w:w="1176" w:type="dxa"/>
            <w:tcBorders>
              <w:right w:val="single" w:sz="4" w:space="0" w:color="auto"/>
            </w:tcBorders>
          </w:tcPr>
          <w:p w14:paraId="3E78427F" w14:textId="77777777" w:rsidR="00C52D96" w:rsidRPr="00631C1B" w:rsidRDefault="00C52D96" w:rsidP="00C52D96">
            <w:pPr>
              <w:rPr>
                <w:sz w:val="18"/>
                <w:szCs w:val="18"/>
              </w:rPr>
            </w:pPr>
            <w:r w:rsidRPr="00631C1B">
              <w:rPr>
                <w:rFonts w:cs="Arial"/>
                <w:color w:val="000000"/>
                <w:sz w:val="18"/>
                <w:szCs w:val="18"/>
              </w:rPr>
              <w:t>0-40%</w:t>
            </w:r>
          </w:p>
        </w:tc>
        <w:tc>
          <w:tcPr>
            <w:tcW w:w="1265" w:type="dxa"/>
            <w:tcBorders>
              <w:left w:val="single" w:sz="4" w:space="0" w:color="auto"/>
              <w:right w:val="single" w:sz="4" w:space="0" w:color="auto"/>
            </w:tcBorders>
          </w:tcPr>
          <w:p w14:paraId="269BD9CE" w14:textId="2E9D3B34" w:rsidR="00C52D96" w:rsidRPr="00631C1B" w:rsidRDefault="00C52D96" w:rsidP="00C52D96">
            <w:pPr>
              <w:jc w:val="center"/>
              <w:rPr>
                <w:sz w:val="18"/>
                <w:szCs w:val="18"/>
              </w:rPr>
            </w:pPr>
            <w:r w:rsidRPr="00631C1B">
              <w:rPr>
                <w:sz w:val="18"/>
                <w:szCs w:val="18"/>
              </w:rPr>
              <w:t>1,167</w:t>
            </w:r>
          </w:p>
        </w:tc>
        <w:tc>
          <w:tcPr>
            <w:tcW w:w="961" w:type="dxa"/>
            <w:tcBorders>
              <w:left w:val="single" w:sz="4" w:space="0" w:color="auto"/>
              <w:right w:val="single" w:sz="4" w:space="0" w:color="auto"/>
            </w:tcBorders>
          </w:tcPr>
          <w:p w14:paraId="43FF7B3E" w14:textId="60F4F3CF" w:rsidR="00C52D96" w:rsidRPr="00631C1B" w:rsidRDefault="00C52D96" w:rsidP="00C52D96">
            <w:pPr>
              <w:jc w:val="center"/>
              <w:rPr>
                <w:sz w:val="18"/>
                <w:szCs w:val="18"/>
              </w:rPr>
            </w:pPr>
            <w:r w:rsidRPr="00631C1B">
              <w:rPr>
                <w:sz w:val="18"/>
                <w:szCs w:val="18"/>
              </w:rPr>
              <w:t>67.7%</w:t>
            </w:r>
          </w:p>
        </w:tc>
        <w:tc>
          <w:tcPr>
            <w:tcW w:w="1276" w:type="dxa"/>
            <w:tcBorders>
              <w:left w:val="single" w:sz="4" w:space="0" w:color="auto"/>
              <w:right w:val="single" w:sz="4" w:space="0" w:color="auto"/>
            </w:tcBorders>
          </w:tcPr>
          <w:p w14:paraId="3B27D756" w14:textId="442AE447" w:rsidR="00C52D96" w:rsidRPr="00631C1B" w:rsidRDefault="00C52D96" w:rsidP="00C52D96">
            <w:pPr>
              <w:jc w:val="center"/>
              <w:rPr>
                <w:sz w:val="18"/>
                <w:szCs w:val="18"/>
              </w:rPr>
            </w:pPr>
            <w:r w:rsidRPr="00631C1B">
              <w:rPr>
                <w:sz w:val="18"/>
                <w:szCs w:val="18"/>
              </w:rPr>
              <w:t>2,908</w:t>
            </w:r>
          </w:p>
        </w:tc>
        <w:tc>
          <w:tcPr>
            <w:tcW w:w="851" w:type="dxa"/>
            <w:tcBorders>
              <w:left w:val="single" w:sz="4" w:space="0" w:color="auto"/>
              <w:right w:val="single" w:sz="4" w:space="0" w:color="auto"/>
            </w:tcBorders>
          </w:tcPr>
          <w:p w14:paraId="027CC19B" w14:textId="3C843FE0" w:rsidR="00C52D96" w:rsidRPr="00631C1B" w:rsidRDefault="00C52D96" w:rsidP="00C52D96">
            <w:pPr>
              <w:jc w:val="center"/>
              <w:rPr>
                <w:sz w:val="18"/>
                <w:szCs w:val="18"/>
              </w:rPr>
            </w:pPr>
            <w:r w:rsidRPr="00631C1B">
              <w:rPr>
                <w:sz w:val="18"/>
                <w:szCs w:val="18"/>
              </w:rPr>
              <w:t>93.6%</w:t>
            </w:r>
          </w:p>
        </w:tc>
        <w:tc>
          <w:tcPr>
            <w:tcW w:w="850" w:type="dxa"/>
            <w:tcBorders>
              <w:left w:val="single" w:sz="4" w:space="0" w:color="auto"/>
            </w:tcBorders>
          </w:tcPr>
          <w:p w14:paraId="071C161A" w14:textId="04AB36FC" w:rsidR="00C52D96" w:rsidRPr="00631C1B" w:rsidRDefault="00C52D96" w:rsidP="00C52D96">
            <w:pPr>
              <w:jc w:val="center"/>
              <w:rPr>
                <w:sz w:val="18"/>
                <w:szCs w:val="18"/>
              </w:rPr>
            </w:pPr>
            <w:r w:rsidRPr="00631C1B">
              <w:rPr>
                <w:sz w:val="18"/>
                <w:szCs w:val="18"/>
              </w:rPr>
              <w:t>4,075</w:t>
            </w:r>
          </w:p>
        </w:tc>
        <w:tc>
          <w:tcPr>
            <w:tcW w:w="722" w:type="dxa"/>
            <w:tcBorders>
              <w:left w:val="single" w:sz="4" w:space="0" w:color="auto"/>
            </w:tcBorders>
          </w:tcPr>
          <w:p w14:paraId="6785377C" w14:textId="376923B6" w:rsidR="00C52D96" w:rsidRPr="00631C1B" w:rsidRDefault="00C52D96" w:rsidP="00C52D96">
            <w:pPr>
              <w:jc w:val="center"/>
              <w:rPr>
                <w:sz w:val="18"/>
                <w:szCs w:val="18"/>
              </w:rPr>
            </w:pPr>
            <w:r w:rsidRPr="00631C1B">
              <w:rPr>
                <w:sz w:val="18"/>
                <w:szCs w:val="18"/>
              </w:rPr>
              <w:t>84.4%</w:t>
            </w:r>
          </w:p>
        </w:tc>
      </w:tr>
      <w:tr w:rsidR="00C52D96" w:rsidRPr="00631C1B" w14:paraId="54CD2E9D" w14:textId="6C0B0BCB" w:rsidTr="00C52D96">
        <w:tc>
          <w:tcPr>
            <w:tcW w:w="1176" w:type="dxa"/>
            <w:tcBorders>
              <w:right w:val="single" w:sz="4" w:space="0" w:color="auto"/>
            </w:tcBorders>
          </w:tcPr>
          <w:p w14:paraId="234EF62D" w14:textId="77777777" w:rsidR="00C52D96" w:rsidRPr="00631C1B" w:rsidRDefault="00C52D96" w:rsidP="00C52D96">
            <w:pPr>
              <w:rPr>
                <w:sz w:val="18"/>
                <w:szCs w:val="18"/>
              </w:rPr>
            </w:pPr>
            <w:r w:rsidRPr="00631C1B">
              <w:rPr>
                <w:rFonts w:cs="Arial"/>
                <w:color w:val="000000"/>
                <w:sz w:val="18"/>
                <w:szCs w:val="18"/>
              </w:rPr>
              <w:t>0-50%</w:t>
            </w:r>
          </w:p>
        </w:tc>
        <w:tc>
          <w:tcPr>
            <w:tcW w:w="1265" w:type="dxa"/>
            <w:tcBorders>
              <w:left w:val="single" w:sz="4" w:space="0" w:color="auto"/>
              <w:right w:val="single" w:sz="4" w:space="0" w:color="auto"/>
            </w:tcBorders>
          </w:tcPr>
          <w:p w14:paraId="2746E46E" w14:textId="273E8F28" w:rsidR="00C52D96" w:rsidRPr="00631C1B" w:rsidRDefault="00C52D96" w:rsidP="00C52D96">
            <w:pPr>
              <w:jc w:val="center"/>
              <w:rPr>
                <w:sz w:val="18"/>
                <w:szCs w:val="18"/>
              </w:rPr>
            </w:pPr>
            <w:r w:rsidRPr="00631C1B">
              <w:rPr>
                <w:sz w:val="18"/>
                <w:szCs w:val="18"/>
              </w:rPr>
              <w:t>1,269</w:t>
            </w:r>
          </w:p>
        </w:tc>
        <w:tc>
          <w:tcPr>
            <w:tcW w:w="961" w:type="dxa"/>
            <w:tcBorders>
              <w:left w:val="single" w:sz="4" w:space="0" w:color="auto"/>
              <w:right w:val="single" w:sz="4" w:space="0" w:color="auto"/>
            </w:tcBorders>
          </w:tcPr>
          <w:p w14:paraId="65B61FC2" w14:textId="2606BC76" w:rsidR="00C52D96" w:rsidRPr="00631C1B" w:rsidRDefault="00C52D96" w:rsidP="00C52D96">
            <w:pPr>
              <w:jc w:val="center"/>
              <w:rPr>
                <w:sz w:val="18"/>
                <w:szCs w:val="18"/>
              </w:rPr>
            </w:pPr>
            <w:r w:rsidRPr="00631C1B">
              <w:rPr>
                <w:sz w:val="18"/>
                <w:szCs w:val="18"/>
              </w:rPr>
              <w:t>73.7%</w:t>
            </w:r>
          </w:p>
        </w:tc>
        <w:tc>
          <w:tcPr>
            <w:tcW w:w="1276" w:type="dxa"/>
            <w:tcBorders>
              <w:left w:val="single" w:sz="4" w:space="0" w:color="auto"/>
              <w:right w:val="single" w:sz="4" w:space="0" w:color="auto"/>
            </w:tcBorders>
          </w:tcPr>
          <w:p w14:paraId="16ED407A" w14:textId="13740D3A" w:rsidR="00C52D96" w:rsidRPr="00631C1B" w:rsidRDefault="00C52D96" w:rsidP="00C52D96">
            <w:pPr>
              <w:jc w:val="center"/>
              <w:rPr>
                <w:sz w:val="18"/>
                <w:szCs w:val="18"/>
              </w:rPr>
            </w:pPr>
            <w:r w:rsidRPr="00631C1B">
              <w:rPr>
                <w:sz w:val="18"/>
                <w:szCs w:val="18"/>
              </w:rPr>
              <w:t>2,908</w:t>
            </w:r>
          </w:p>
        </w:tc>
        <w:tc>
          <w:tcPr>
            <w:tcW w:w="851" w:type="dxa"/>
            <w:tcBorders>
              <w:left w:val="single" w:sz="4" w:space="0" w:color="auto"/>
              <w:right w:val="single" w:sz="4" w:space="0" w:color="auto"/>
            </w:tcBorders>
          </w:tcPr>
          <w:p w14:paraId="26CF4A7C" w14:textId="662C1441" w:rsidR="00C52D96" w:rsidRPr="00631C1B" w:rsidRDefault="00C52D96" w:rsidP="00C52D96">
            <w:pPr>
              <w:jc w:val="center"/>
              <w:rPr>
                <w:sz w:val="18"/>
                <w:szCs w:val="18"/>
              </w:rPr>
            </w:pPr>
            <w:r w:rsidRPr="00631C1B">
              <w:rPr>
                <w:sz w:val="18"/>
                <w:szCs w:val="18"/>
              </w:rPr>
              <w:t>93.6%</w:t>
            </w:r>
          </w:p>
        </w:tc>
        <w:tc>
          <w:tcPr>
            <w:tcW w:w="850" w:type="dxa"/>
            <w:tcBorders>
              <w:left w:val="single" w:sz="4" w:space="0" w:color="auto"/>
            </w:tcBorders>
          </w:tcPr>
          <w:p w14:paraId="7969396E" w14:textId="7DA0D15A" w:rsidR="00C52D96" w:rsidRPr="00631C1B" w:rsidRDefault="00C52D96" w:rsidP="00C52D96">
            <w:pPr>
              <w:jc w:val="center"/>
              <w:rPr>
                <w:sz w:val="18"/>
                <w:szCs w:val="18"/>
              </w:rPr>
            </w:pPr>
            <w:r w:rsidRPr="00631C1B">
              <w:rPr>
                <w:sz w:val="18"/>
                <w:szCs w:val="18"/>
              </w:rPr>
              <w:t>4,177</w:t>
            </w:r>
          </w:p>
        </w:tc>
        <w:tc>
          <w:tcPr>
            <w:tcW w:w="722" w:type="dxa"/>
            <w:tcBorders>
              <w:left w:val="single" w:sz="4" w:space="0" w:color="auto"/>
            </w:tcBorders>
          </w:tcPr>
          <w:p w14:paraId="7ED05524" w14:textId="1D8C5632" w:rsidR="00C52D96" w:rsidRPr="00631C1B" w:rsidRDefault="00C52D96" w:rsidP="00C52D96">
            <w:pPr>
              <w:jc w:val="center"/>
              <w:rPr>
                <w:sz w:val="18"/>
                <w:szCs w:val="18"/>
              </w:rPr>
            </w:pPr>
            <w:r w:rsidRPr="00631C1B">
              <w:rPr>
                <w:sz w:val="18"/>
                <w:szCs w:val="18"/>
              </w:rPr>
              <w:t>86.5%</w:t>
            </w:r>
          </w:p>
        </w:tc>
      </w:tr>
      <w:tr w:rsidR="00C52D96" w:rsidRPr="00631C1B" w14:paraId="72F0F49E" w14:textId="6E59DF36" w:rsidTr="00C52D96">
        <w:tc>
          <w:tcPr>
            <w:tcW w:w="1176" w:type="dxa"/>
            <w:tcBorders>
              <w:right w:val="single" w:sz="4" w:space="0" w:color="auto"/>
            </w:tcBorders>
          </w:tcPr>
          <w:p w14:paraId="5E822E66" w14:textId="77777777" w:rsidR="00C52D96" w:rsidRPr="00631C1B" w:rsidRDefault="00C52D96" w:rsidP="00C52D96">
            <w:pPr>
              <w:rPr>
                <w:sz w:val="18"/>
                <w:szCs w:val="18"/>
              </w:rPr>
            </w:pPr>
            <w:r w:rsidRPr="00631C1B">
              <w:rPr>
                <w:rFonts w:cs="Arial"/>
                <w:color w:val="000000"/>
                <w:sz w:val="18"/>
                <w:szCs w:val="18"/>
              </w:rPr>
              <w:t>50-100%</w:t>
            </w:r>
          </w:p>
        </w:tc>
        <w:tc>
          <w:tcPr>
            <w:tcW w:w="1265" w:type="dxa"/>
            <w:tcBorders>
              <w:left w:val="single" w:sz="4" w:space="0" w:color="auto"/>
              <w:right w:val="single" w:sz="4" w:space="0" w:color="auto"/>
            </w:tcBorders>
          </w:tcPr>
          <w:p w14:paraId="433AF870" w14:textId="6985B737" w:rsidR="00C52D96" w:rsidRPr="00631C1B" w:rsidRDefault="00C52D96" w:rsidP="00C52D96">
            <w:pPr>
              <w:jc w:val="center"/>
              <w:rPr>
                <w:sz w:val="18"/>
                <w:szCs w:val="18"/>
              </w:rPr>
            </w:pPr>
            <w:r w:rsidRPr="00631C1B">
              <w:rPr>
                <w:sz w:val="18"/>
                <w:szCs w:val="18"/>
              </w:rPr>
              <w:t>454</w:t>
            </w:r>
          </w:p>
        </w:tc>
        <w:tc>
          <w:tcPr>
            <w:tcW w:w="961" w:type="dxa"/>
            <w:tcBorders>
              <w:left w:val="single" w:sz="4" w:space="0" w:color="auto"/>
              <w:right w:val="single" w:sz="4" w:space="0" w:color="auto"/>
            </w:tcBorders>
          </w:tcPr>
          <w:p w14:paraId="4859C46B" w14:textId="49D297C4" w:rsidR="00C52D96" w:rsidRPr="00631C1B" w:rsidRDefault="00C52D96" w:rsidP="00C52D96">
            <w:pPr>
              <w:jc w:val="center"/>
              <w:rPr>
                <w:sz w:val="18"/>
                <w:szCs w:val="18"/>
              </w:rPr>
            </w:pPr>
            <w:r w:rsidRPr="00631C1B">
              <w:rPr>
                <w:sz w:val="18"/>
                <w:szCs w:val="18"/>
              </w:rPr>
              <w:t>26.3%</w:t>
            </w:r>
          </w:p>
        </w:tc>
        <w:tc>
          <w:tcPr>
            <w:tcW w:w="1276" w:type="dxa"/>
            <w:tcBorders>
              <w:left w:val="single" w:sz="4" w:space="0" w:color="auto"/>
              <w:right w:val="single" w:sz="4" w:space="0" w:color="auto"/>
            </w:tcBorders>
          </w:tcPr>
          <w:p w14:paraId="36D10DA5" w14:textId="55642A8A" w:rsidR="00C52D96" w:rsidRPr="00631C1B" w:rsidRDefault="00C52D96" w:rsidP="00C52D96">
            <w:pPr>
              <w:jc w:val="center"/>
              <w:rPr>
                <w:sz w:val="18"/>
                <w:szCs w:val="18"/>
              </w:rPr>
            </w:pPr>
            <w:r w:rsidRPr="00631C1B">
              <w:rPr>
                <w:sz w:val="18"/>
                <w:szCs w:val="18"/>
              </w:rPr>
              <w:t>199</w:t>
            </w:r>
          </w:p>
        </w:tc>
        <w:tc>
          <w:tcPr>
            <w:tcW w:w="851" w:type="dxa"/>
            <w:tcBorders>
              <w:left w:val="single" w:sz="4" w:space="0" w:color="auto"/>
              <w:right w:val="single" w:sz="4" w:space="0" w:color="auto"/>
            </w:tcBorders>
          </w:tcPr>
          <w:p w14:paraId="0D054571" w14:textId="7EC0D715" w:rsidR="00C52D96" w:rsidRPr="00631C1B" w:rsidRDefault="00C52D96" w:rsidP="00C52D96">
            <w:pPr>
              <w:jc w:val="center"/>
              <w:rPr>
                <w:sz w:val="18"/>
                <w:szCs w:val="18"/>
              </w:rPr>
            </w:pPr>
            <w:r w:rsidRPr="00631C1B">
              <w:rPr>
                <w:sz w:val="18"/>
                <w:szCs w:val="18"/>
              </w:rPr>
              <w:t>6.4%</w:t>
            </w:r>
          </w:p>
        </w:tc>
        <w:tc>
          <w:tcPr>
            <w:tcW w:w="850" w:type="dxa"/>
            <w:tcBorders>
              <w:left w:val="single" w:sz="4" w:space="0" w:color="auto"/>
            </w:tcBorders>
          </w:tcPr>
          <w:p w14:paraId="1E45B301" w14:textId="20395952" w:rsidR="00C52D96" w:rsidRPr="00631C1B" w:rsidRDefault="00C52D96" w:rsidP="00C52D96">
            <w:pPr>
              <w:jc w:val="center"/>
              <w:rPr>
                <w:sz w:val="18"/>
                <w:szCs w:val="18"/>
              </w:rPr>
            </w:pPr>
            <w:r w:rsidRPr="00631C1B">
              <w:rPr>
                <w:sz w:val="18"/>
                <w:szCs w:val="18"/>
              </w:rPr>
              <w:t>653</w:t>
            </w:r>
          </w:p>
        </w:tc>
        <w:tc>
          <w:tcPr>
            <w:tcW w:w="722" w:type="dxa"/>
            <w:tcBorders>
              <w:left w:val="single" w:sz="4" w:space="0" w:color="auto"/>
            </w:tcBorders>
          </w:tcPr>
          <w:p w14:paraId="08D4FDC0" w14:textId="532468D1" w:rsidR="00C52D96" w:rsidRPr="00631C1B" w:rsidRDefault="00C52D96" w:rsidP="00C52D96">
            <w:pPr>
              <w:jc w:val="center"/>
              <w:rPr>
                <w:sz w:val="18"/>
                <w:szCs w:val="18"/>
              </w:rPr>
            </w:pPr>
            <w:r w:rsidRPr="00631C1B">
              <w:rPr>
                <w:sz w:val="18"/>
                <w:szCs w:val="18"/>
              </w:rPr>
              <w:t>13.5%</w:t>
            </w:r>
          </w:p>
        </w:tc>
      </w:tr>
      <w:tr w:rsidR="00C52D96" w:rsidRPr="00631C1B" w14:paraId="54BF2DFF" w14:textId="2649673C" w:rsidTr="00C52D96">
        <w:tc>
          <w:tcPr>
            <w:tcW w:w="1176" w:type="dxa"/>
            <w:tcBorders>
              <w:right w:val="single" w:sz="4" w:space="0" w:color="auto"/>
            </w:tcBorders>
          </w:tcPr>
          <w:p w14:paraId="3EF30E93" w14:textId="77777777" w:rsidR="00C52D96" w:rsidRPr="00631C1B" w:rsidRDefault="00C52D96" w:rsidP="00C52D96">
            <w:pPr>
              <w:rPr>
                <w:sz w:val="18"/>
                <w:szCs w:val="18"/>
              </w:rPr>
            </w:pPr>
            <w:r w:rsidRPr="00631C1B">
              <w:rPr>
                <w:rFonts w:cs="Arial"/>
                <w:b/>
                <w:bCs/>
                <w:color w:val="000000"/>
                <w:sz w:val="18"/>
                <w:szCs w:val="18"/>
              </w:rPr>
              <w:t>Total</w:t>
            </w:r>
          </w:p>
        </w:tc>
        <w:tc>
          <w:tcPr>
            <w:tcW w:w="1265" w:type="dxa"/>
            <w:tcBorders>
              <w:left w:val="single" w:sz="4" w:space="0" w:color="auto"/>
              <w:bottom w:val="nil"/>
              <w:right w:val="single" w:sz="4" w:space="0" w:color="auto"/>
            </w:tcBorders>
          </w:tcPr>
          <w:p w14:paraId="0D82FD17" w14:textId="0D02FD01" w:rsidR="00C52D96" w:rsidRPr="00631C1B" w:rsidRDefault="00C52D96" w:rsidP="00C52D96">
            <w:pPr>
              <w:jc w:val="center"/>
              <w:rPr>
                <w:b/>
                <w:bCs/>
                <w:sz w:val="18"/>
                <w:szCs w:val="18"/>
              </w:rPr>
            </w:pPr>
            <w:r w:rsidRPr="00631C1B">
              <w:rPr>
                <w:b/>
                <w:bCs/>
                <w:sz w:val="18"/>
                <w:szCs w:val="18"/>
              </w:rPr>
              <w:t>1,723</w:t>
            </w:r>
          </w:p>
        </w:tc>
        <w:tc>
          <w:tcPr>
            <w:tcW w:w="961" w:type="dxa"/>
            <w:tcBorders>
              <w:left w:val="single" w:sz="4" w:space="0" w:color="auto"/>
              <w:bottom w:val="nil"/>
              <w:right w:val="single" w:sz="4" w:space="0" w:color="auto"/>
            </w:tcBorders>
          </w:tcPr>
          <w:p w14:paraId="75340D1B" w14:textId="276D28ED" w:rsidR="00C52D96" w:rsidRPr="00631C1B" w:rsidRDefault="00C52D96" w:rsidP="00C52D96">
            <w:pPr>
              <w:jc w:val="center"/>
              <w:rPr>
                <w:b/>
                <w:bCs/>
                <w:sz w:val="18"/>
                <w:szCs w:val="18"/>
              </w:rPr>
            </w:pPr>
            <w:r w:rsidRPr="00631C1B">
              <w:rPr>
                <w:b/>
                <w:bCs/>
                <w:sz w:val="18"/>
                <w:szCs w:val="18"/>
              </w:rPr>
              <w:t>100.0%</w:t>
            </w:r>
          </w:p>
        </w:tc>
        <w:tc>
          <w:tcPr>
            <w:tcW w:w="1276" w:type="dxa"/>
            <w:tcBorders>
              <w:left w:val="single" w:sz="4" w:space="0" w:color="auto"/>
              <w:bottom w:val="nil"/>
              <w:right w:val="single" w:sz="4" w:space="0" w:color="auto"/>
            </w:tcBorders>
          </w:tcPr>
          <w:p w14:paraId="68E7B606" w14:textId="2DF3F137" w:rsidR="00C52D96" w:rsidRPr="00631C1B" w:rsidRDefault="00C52D96" w:rsidP="00C52D96">
            <w:pPr>
              <w:jc w:val="center"/>
              <w:rPr>
                <w:b/>
                <w:bCs/>
                <w:sz w:val="18"/>
                <w:szCs w:val="18"/>
              </w:rPr>
            </w:pPr>
            <w:r w:rsidRPr="00631C1B">
              <w:rPr>
                <w:b/>
                <w:bCs/>
                <w:sz w:val="18"/>
                <w:szCs w:val="18"/>
              </w:rPr>
              <w:t>3,107</w:t>
            </w:r>
          </w:p>
        </w:tc>
        <w:tc>
          <w:tcPr>
            <w:tcW w:w="851" w:type="dxa"/>
            <w:tcBorders>
              <w:left w:val="single" w:sz="4" w:space="0" w:color="auto"/>
              <w:bottom w:val="nil"/>
              <w:right w:val="single" w:sz="4" w:space="0" w:color="auto"/>
            </w:tcBorders>
          </w:tcPr>
          <w:p w14:paraId="1C3EEFB4" w14:textId="236F2825" w:rsidR="00C52D96" w:rsidRPr="00631C1B" w:rsidRDefault="00C52D96" w:rsidP="00C52D96">
            <w:pPr>
              <w:jc w:val="center"/>
              <w:rPr>
                <w:b/>
                <w:bCs/>
                <w:sz w:val="18"/>
                <w:szCs w:val="18"/>
              </w:rPr>
            </w:pPr>
            <w:r w:rsidRPr="00631C1B">
              <w:rPr>
                <w:b/>
                <w:bCs/>
                <w:sz w:val="18"/>
                <w:szCs w:val="18"/>
              </w:rPr>
              <w:t>100.0%</w:t>
            </w:r>
          </w:p>
        </w:tc>
        <w:tc>
          <w:tcPr>
            <w:tcW w:w="850" w:type="dxa"/>
            <w:tcBorders>
              <w:left w:val="single" w:sz="4" w:space="0" w:color="auto"/>
              <w:bottom w:val="nil"/>
            </w:tcBorders>
          </w:tcPr>
          <w:p w14:paraId="357E98F8" w14:textId="027992D7" w:rsidR="00C52D96" w:rsidRPr="00631C1B" w:rsidRDefault="00C52D96" w:rsidP="00C52D96">
            <w:pPr>
              <w:jc w:val="center"/>
              <w:rPr>
                <w:b/>
                <w:bCs/>
                <w:sz w:val="18"/>
                <w:szCs w:val="18"/>
              </w:rPr>
            </w:pPr>
            <w:r w:rsidRPr="00631C1B">
              <w:rPr>
                <w:b/>
                <w:bCs/>
                <w:sz w:val="18"/>
                <w:szCs w:val="18"/>
              </w:rPr>
              <w:t>4,830</w:t>
            </w:r>
          </w:p>
        </w:tc>
        <w:tc>
          <w:tcPr>
            <w:tcW w:w="722" w:type="dxa"/>
            <w:tcBorders>
              <w:left w:val="single" w:sz="4" w:space="0" w:color="auto"/>
              <w:bottom w:val="nil"/>
            </w:tcBorders>
          </w:tcPr>
          <w:p w14:paraId="690A2590" w14:textId="4F31A6A3" w:rsidR="00C52D96" w:rsidRPr="00631C1B" w:rsidRDefault="00C52D96" w:rsidP="00C52D96">
            <w:pPr>
              <w:jc w:val="center"/>
              <w:rPr>
                <w:b/>
                <w:bCs/>
                <w:sz w:val="18"/>
                <w:szCs w:val="18"/>
              </w:rPr>
            </w:pPr>
            <w:r w:rsidRPr="00631C1B">
              <w:rPr>
                <w:b/>
                <w:bCs/>
                <w:sz w:val="18"/>
                <w:szCs w:val="18"/>
              </w:rPr>
              <w:t>100.0%</w:t>
            </w:r>
          </w:p>
        </w:tc>
      </w:tr>
    </w:tbl>
    <w:p w14:paraId="1DB617F7" w14:textId="41E739E1" w:rsidR="00E14FB5" w:rsidRPr="00631C1B" w:rsidRDefault="00E14FB5" w:rsidP="00491AB1">
      <w:pPr>
        <w:pStyle w:val="Source"/>
      </w:pPr>
      <w:r w:rsidRPr="00631C1B">
        <w:t>Source: Creative Scotland / BOP Consulting (2020)</w:t>
      </w:r>
    </w:p>
    <w:p w14:paraId="63925B5B" w14:textId="77777777" w:rsidR="00D85628" w:rsidRPr="00631C1B" w:rsidRDefault="00D85628" w:rsidP="00F41487">
      <w:pPr>
        <w:pStyle w:val="BodyText"/>
        <w:rPr>
          <w:rStyle w:val="Strong"/>
          <w:rFonts w:cs="Arial"/>
          <w:b w:val="0"/>
        </w:rPr>
      </w:pPr>
    </w:p>
    <w:p w14:paraId="749E5BFC" w14:textId="00C7AB5F" w:rsidR="00F41487" w:rsidRPr="00631C1B" w:rsidRDefault="00F41487" w:rsidP="00F41487">
      <w:pPr>
        <w:pStyle w:val="BodyText"/>
      </w:pPr>
      <w:r w:rsidRPr="00631C1B">
        <w:rPr>
          <w:rStyle w:val="Strong"/>
          <w:rFonts w:cs="Arial"/>
          <w:b w:val="0"/>
        </w:rPr>
        <w:t xml:space="preserve">Across the Targeted Fund projects and across all years, of the </w:t>
      </w:r>
      <w:r w:rsidR="00EE62F0" w:rsidRPr="00631C1B">
        <w:rPr>
          <w:rStyle w:val="Strong"/>
          <w:rFonts w:cs="Arial"/>
          <w:b w:val="0"/>
        </w:rPr>
        <w:t>5,875</w:t>
      </w:r>
      <w:r w:rsidRPr="00631C1B">
        <w:rPr>
          <w:rStyle w:val="Strong"/>
          <w:rFonts w:cs="Arial"/>
          <w:b w:val="0"/>
        </w:rPr>
        <w:t xml:space="preserve"> participants who provided their postcode and therefore were able to calculate their SIMD ranking, </w:t>
      </w:r>
      <w:r w:rsidR="00F854EB" w:rsidRPr="00631C1B">
        <w:rPr>
          <w:rStyle w:val="Strong"/>
          <w:rFonts w:cs="Arial"/>
          <w:b w:val="0"/>
        </w:rPr>
        <w:t>53.0%</w:t>
      </w:r>
      <w:r w:rsidRPr="00631C1B">
        <w:rPr>
          <w:rStyle w:val="Strong"/>
          <w:rFonts w:cs="Arial"/>
          <w:b w:val="0"/>
        </w:rPr>
        <w:t xml:space="preserve">% of participants lived within </w:t>
      </w:r>
      <w:r w:rsidRPr="00631C1B">
        <w:t xml:space="preserve">the 0-20% most deprived areas of Scotland. Just over </w:t>
      </w:r>
      <w:r w:rsidR="00F854EB" w:rsidRPr="00631C1B">
        <w:t>three-quarters</w:t>
      </w:r>
      <w:r w:rsidRPr="00631C1B">
        <w:t xml:space="preserve"> (</w:t>
      </w:r>
      <w:r w:rsidR="00F854EB" w:rsidRPr="00631C1B">
        <w:t>77.8</w:t>
      </w:r>
      <w:r w:rsidRPr="00631C1B">
        <w:t>%) of the Open Fund projects (all years) were delivered within the 0-20% SIMD range</w:t>
      </w:r>
      <w:r w:rsidRPr="00631C1B">
        <w:rPr>
          <w:rStyle w:val="FootnoteReference"/>
        </w:rPr>
        <w:footnoteReference w:id="4"/>
      </w:r>
      <w:r w:rsidRPr="00631C1B">
        <w:t xml:space="preserve">. Across the programme, this </w:t>
      </w:r>
      <w:r w:rsidRPr="00997953">
        <w:rPr>
          <w:bCs/>
        </w:rPr>
        <w:t xml:space="preserve">averaged at </w:t>
      </w:r>
      <w:r w:rsidR="00B67A52" w:rsidRPr="00997953">
        <w:rPr>
          <w:bCs/>
        </w:rPr>
        <w:t>61.5</w:t>
      </w:r>
      <w:r w:rsidRPr="00997953">
        <w:rPr>
          <w:bCs/>
        </w:rPr>
        <w:t>% of participants coming from or taking part in the 0-20% most deprived areas of Scotland</w:t>
      </w:r>
      <w:r w:rsidRPr="00631C1B">
        <w:t xml:space="preserve">, </w:t>
      </w:r>
      <w:r w:rsidR="00B67A52" w:rsidRPr="00631C1B">
        <w:t>compared to</w:t>
      </w:r>
      <w:r w:rsidRPr="00631C1B">
        <w:t xml:space="preserve"> </w:t>
      </w:r>
      <w:r w:rsidR="00B67A52" w:rsidRPr="00631C1B">
        <w:t>17.2</w:t>
      </w:r>
      <w:r w:rsidRPr="00631C1B">
        <w:t>% from within the 50-100% least deprived areas of Scotland (Figure 6).</w:t>
      </w:r>
    </w:p>
    <w:p w14:paraId="7BDF9A1C" w14:textId="77777777" w:rsidR="00C97B37" w:rsidRPr="00631C1B" w:rsidRDefault="00C97B37" w:rsidP="00F41487">
      <w:pPr>
        <w:pStyle w:val="BodyText"/>
      </w:pPr>
    </w:p>
    <w:p w14:paraId="343A40AA" w14:textId="77777777" w:rsidR="00C52D96" w:rsidRPr="00631C1B" w:rsidRDefault="00C52D96" w:rsidP="00F41487">
      <w:pPr>
        <w:pStyle w:val="BodyText"/>
      </w:pPr>
    </w:p>
    <w:p w14:paraId="383114CE" w14:textId="134B1567" w:rsidR="00C97B37" w:rsidRPr="00631C1B" w:rsidRDefault="00C97B37" w:rsidP="00F41487">
      <w:pPr>
        <w:pStyle w:val="BodyText"/>
      </w:pPr>
    </w:p>
    <w:p w14:paraId="4280DE6B" w14:textId="64E18C14" w:rsidR="00B841EB" w:rsidRPr="00631C1B" w:rsidRDefault="00B841EB" w:rsidP="00F41487">
      <w:pPr>
        <w:pStyle w:val="BodyText"/>
      </w:pPr>
    </w:p>
    <w:p w14:paraId="52B60B88" w14:textId="77777777" w:rsidR="002D6617" w:rsidRPr="00631C1B" w:rsidRDefault="002D6617" w:rsidP="00745954">
      <w:pPr>
        <w:pStyle w:val="BodyText"/>
      </w:pPr>
    </w:p>
    <w:p w14:paraId="77FBE6BB" w14:textId="04712D05" w:rsidR="002D6617" w:rsidRPr="00631C1B" w:rsidRDefault="002D6617" w:rsidP="002D6617">
      <w:pPr>
        <w:pStyle w:val="Caption"/>
      </w:pPr>
      <w:bookmarkStart w:id="22" w:name="_Toc42266741"/>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6</w:t>
      </w:r>
      <w:r w:rsidRPr="00631C1B">
        <w:rPr>
          <w:noProof/>
        </w:rPr>
        <w:fldChar w:fldCharType="end"/>
      </w:r>
      <w:r w:rsidRPr="00631C1B">
        <w:t xml:space="preserve">  SIMD breakdown (cumulative proportions) – All years</w:t>
      </w:r>
      <w:bookmarkEnd w:id="22"/>
    </w:p>
    <w:tbl>
      <w:tblPr>
        <w:tblStyle w:val="BOPtable"/>
        <w:tblW w:w="0" w:type="auto"/>
        <w:tblLook w:val="04A0" w:firstRow="1" w:lastRow="0" w:firstColumn="1" w:lastColumn="0" w:noHBand="0" w:noVBand="1"/>
      </w:tblPr>
      <w:tblGrid>
        <w:gridCol w:w="1185"/>
        <w:gridCol w:w="1274"/>
        <w:gridCol w:w="719"/>
        <w:gridCol w:w="1262"/>
        <w:gridCol w:w="719"/>
        <w:gridCol w:w="1220"/>
        <w:gridCol w:w="722"/>
      </w:tblGrid>
      <w:tr w:rsidR="0089143C" w:rsidRPr="00631C1B" w14:paraId="0B6B83E6" w14:textId="49BA01E7" w:rsidTr="00B841EB">
        <w:trPr>
          <w:cnfStyle w:val="100000000000" w:firstRow="1" w:lastRow="0" w:firstColumn="0" w:lastColumn="0" w:oddVBand="0" w:evenVBand="0" w:oddHBand="0" w:evenHBand="0" w:firstRowFirstColumn="0" w:firstRowLastColumn="0" w:lastRowFirstColumn="0" w:lastRowLastColumn="0"/>
        </w:trPr>
        <w:tc>
          <w:tcPr>
            <w:tcW w:w="1185" w:type="dxa"/>
            <w:tcBorders>
              <w:right w:val="single" w:sz="4" w:space="0" w:color="auto"/>
            </w:tcBorders>
          </w:tcPr>
          <w:p w14:paraId="15CF7C16" w14:textId="77777777" w:rsidR="0089143C" w:rsidRPr="00631C1B" w:rsidRDefault="0089143C" w:rsidP="00491AB1">
            <w:r w:rsidRPr="00631C1B">
              <w:rPr>
                <w:rFonts w:cs="Arial"/>
                <w:bCs/>
                <w:color w:val="1F497D" w:themeColor="text2"/>
              </w:rPr>
              <w:t>SIMD breakdown</w:t>
            </w:r>
          </w:p>
        </w:tc>
        <w:tc>
          <w:tcPr>
            <w:tcW w:w="1274" w:type="dxa"/>
            <w:tcBorders>
              <w:left w:val="single" w:sz="4" w:space="0" w:color="auto"/>
              <w:right w:val="single" w:sz="4" w:space="0" w:color="auto"/>
            </w:tcBorders>
          </w:tcPr>
          <w:p w14:paraId="53D81E0D" w14:textId="77777777" w:rsidR="0089143C" w:rsidRPr="00631C1B" w:rsidRDefault="0089143C" w:rsidP="00491AB1">
            <w:pPr>
              <w:jc w:val="center"/>
            </w:pPr>
            <w:r w:rsidRPr="00631C1B">
              <w:rPr>
                <w:rFonts w:cs="Arial"/>
                <w:bCs/>
                <w:color w:val="1F497D" w:themeColor="text2"/>
              </w:rPr>
              <w:t>Targeted Fund Participants</w:t>
            </w:r>
          </w:p>
        </w:tc>
        <w:tc>
          <w:tcPr>
            <w:tcW w:w="719" w:type="dxa"/>
            <w:tcBorders>
              <w:left w:val="single" w:sz="4" w:space="0" w:color="auto"/>
              <w:right w:val="single" w:sz="4" w:space="0" w:color="auto"/>
            </w:tcBorders>
          </w:tcPr>
          <w:p w14:paraId="2505AC32" w14:textId="77777777" w:rsidR="0089143C" w:rsidRPr="00631C1B" w:rsidRDefault="0089143C" w:rsidP="00491AB1">
            <w:pPr>
              <w:jc w:val="center"/>
            </w:pPr>
            <w:r w:rsidRPr="00631C1B">
              <w:rPr>
                <w:rFonts w:cs="Arial"/>
                <w:bCs/>
                <w:color w:val="1F497D" w:themeColor="text2"/>
              </w:rPr>
              <w:t>%</w:t>
            </w:r>
          </w:p>
        </w:tc>
        <w:tc>
          <w:tcPr>
            <w:tcW w:w="1262" w:type="dxa"/>
            <w:tcBorders>
              <w:left w:val="single" w:sz="4" w:space="0" w:color="auto"/>
              <w:right w:val="single" w:sz="4" w:space="0" w:color="auto"/>
            </w:tcBorders>
          </w:tcPr>
          <w:p w14:paraId="65ABBAFA" w14:textId="77777777" w:rsidR="0089143C" w:rsidRPr="00631C1B" w:rsidRDefault="0089143C" w:rsidP="00491AB1">
            <w:pPr>
              <w:jc w:val="center"/>
            </w:pPr>
            <w:r w:rsidRPr="00631C1B">
              <w:rPr>
                <w:rFonts w:cs="Arial"/>
                <w:bCs/>
                <w:color w:val="1F497D" w:themeColor="text2"/>
              </w:rPr>
              <w:t>Open Fund Participants</w:t>
            </w:r>
          </w:p>
        </w:tc>
        <w:tc>
          <w:tcPr>
            <w:tcW w:w="719" w:type="dxa"/>
            <w:tcBorders>
              <w:left w:val="single" w:sz="4" w:space="0" w:color="auto"/>
              <w:right w:val="single" w:sz="4" w:space="0" w:color="auto"/>
            </w:tcBorders>
          </w:tcPr>
          <w:p w14:paraId="0830E73C" w14:textId="77777777" w:rsidR="0089143C" w:rsidRPr="00631C1B" w:rsidRDefault="0089143C" w:rsidP="00491AB1">
            <w:pPr>
              <w:jc w:val="center"/>
            </w:pPr>
            <w:r w:rsidRPr="00631C1B">
              <w:rPr>
                <w:rFonts w:cs="Arial"/>
                <w:bCs/>
                <w:color w:val="1F497D" w:themeColor="text2"/>
              </w:rPr>
              <w:t>%</w:t>
            </w:r>
          </w:p>
        </w:tc>
        <w:tc>
          <w:tcPr>
            <w:tcW w:w="1220" w:type="dxa"/>
            <w:tcBorders>
              <w:left w:val="single" w:sz="4" w:space="0" w:color="auto"/>
            </w:tcBorders>
          </w:tcPr>
          <w:p w14:paraId="5723972D" w14:textId="63104ED1" w:rsidR="0089143C" w:rsidRPr="00631C1B" w:rsidRDefault="0089143C" w:rsidP="00491AB1">
            <w:pPr>
              <w:jc w:val="center"/>
            </w:pPr>
            <w:r w:rsidRPr="00631C1B">
              <w:rPr>
                <w:rFonts w:cs="Arial"/>
                <w:bCs/>
                <w:color w:val="1F497D" w:themeColor="text2"/>
              </w:rPr>
              <w:t>Programme Total</w:t>
            </w:r>
          </w:p>
        </w:tc>
        <w:tc>
          <w:tcPr>
            <w:tcW w:w="722" w:type="dxa"/>
            <w:tcBorders>
              <w:left w:val="single" w:sz="4" w:space="0" w:color="auto"/>
            </w:tcBorders>
          </w:tcPr>
          <w:p w14:paraId="7FE7D73A" w14:textId="03AC873D" w:rsidR="0089143C" w:rsidRPr="00631C1B" w:rsidRDefault="0089143C" w:rsidP="00491AB1">
            <w:pPr>
              <w:jc w:val="center"/>
              <w:rPr>
                <w:rFonts w:cs="Arial"/>
                <w:bCs/>
                <w:color w:val="1F497D" w:themeColor="text2"/>
              </w:rPr>
            </w:pPr>
            <w:r w:rsidRPr="00631C1B">
              <w:rPr>
                <w:rFonts w:cs="Arial"/>
                <w:bCs/>
                <w:color w:val="1F497D" w:themeColor="text2"/>
              </w:rPr>
              <w:t>%</w:t>
            </w:r>
          </w:p>
        </w:tc>
      </w:tr>
      <w:tr w:rsidR="00986CA6" w:rsidRPr="00631C1B" w14:paraId="1CF6F212" w14:textId="54AB2A06" w:rsidTr="00B841EB">
        <w:tc>
          <w:tcPr>
            <w:tcW w:w="1185" w:type="dxa"/>
            <w:tcBorders>
              <w:right w:val="single" w:sz="4" w:space="0" w:color="auto"/>
            </w:tcBorders>
          </w:tcPr>
          <w:p w14:paraId="36AFCD45" w14:textId="77777777" w:rsidR="00986CA6" w:rsidRPr="00631C1B" w:rsidRDefault="00986CA6" w:rsidP="00986CA6">
            <w:pPr>
              <w:rPr>
                <w:sz w:val="18"/>
                <w:szCs w:val="18"/>
              </w:rPr>
            </w:pPr>
            <w:r w:rsidRPr="00631C1B">
              <w:rPr>
                <w:rFonts w:cs="Arial"/>
                <w:color w:val="000000"/>
                <w:sz w:val="18"/>
                <w:szCs w:val="18"/>
              </w:rPr>
              <w:t>0-20%</w:t>
            </w:r>
          </w:p>
        </w:tc>
        <w:tc>
          <w:tcPr>
            <w:tcW w:w="1274" w:type="dxa"/>
            <w:tcBorders>
              <w:left w:val="single" w:sz="4" w:space="0" w:color="auto"/>
              <w:right w:val="single" w:sz="4" w:space="0" w:color="auto"/>
            </w:tcBorders>
          </w:tcPr>
          <w:p w14:paraId="1162AB2F" w14:textId="63012ACF" w:rsidR="00986CA6" w:rsidRPr="00631C1B" w:rsidRDefault="00986CA6" w:rsidP="00986CA6">
            <w:pPr>
              <w:jc w:val="center"/>
              <w:rPr>
                <w:sz w:val="18"/>
                <w:szCs w:val="18"/>
              </w:rPr>
            </w:pPr>
            <w:r w:rsidRPr="00631C1B">
              <w:rPr>
                <w:sz w:val="18"/>
                <w:szCs w:val="18"/>
              </w:rPr>
              <w:t>3,112</w:t>
            </w:r>
          </w:p>
        </w:tc>
        <w:tc>
          <w:tcPr>
            <w:tcW w:w="719" w:type="dxa"/>
            <w:tcBorders>
              <w:left w:val="single" w:sz="4" w:space="0" w:color="auto"/>
              <w:right w:val="single" w:sz="4" w:space="0" w:color="auto"/>
            </w:tcBorders>
          </w:tcPr>
          <w:p w14:paraId="114DD8C2" w14:textId="3ED4436E" w:rsidR="00986CA6" w:rsidRPr="00631C1B" w:rsidRDefault="00986CA6" w:rsidP="00986CA6">
            <w:pPr>
              <w:jc w:val="center"/>
              <w:rPr>
                <w:sz w:val="18"/>
                <w:szCs w:val="18"/>
              </w:rPr>
            </w:pPr>
            <w:r w:rsidRPr="00631C1B">
              <w:rPr>
                <w:sz w:val="18"/>
                <w:szCs w:val="18"/>
              </w:rPr>
              <w:t>53.0%</w:t>
            </w:r>
          </w:p>
        </w:tc>
        <w:tc>
          <w:tcPr>
            <w:tcW w:w="1262" w:type="dxa"/>
            <w:tcBorders>
              <w:left w:val="single" w:sz="4" w:space="0" w:color="auto"/>
              <w:right w:val="single" w:sz="4" w:space="0" w:color="auto"/>
            </w:tcBorders>
          </w:tcPr>
          <w:p w14:paraId="7281442B" w14:textId="577CBB8A" w:rsidR="00986CA6" w:rsidRPr="00631C1B" w:rsidRDefault="00986CA6" w:rsidP="00986CA6">
            <w:pPr>
              <w:jc w:val="center"/>
              <w:rPr>
                <w:sz w:val="18"/>
                <w:szCs w:val="18"/>
              </w:rPr>
            </w:pPr>
            <w:r w:rsidRPr="00631C1B">
              <w:rPr>
                <w:sz w:val="18"/>
                <w:szCs w:val="18"/>
              </w:rPr>
              <w:t>2,416</w:t>
            </w:r>
          </w:p>
        </w:tc>
        <w:tc>
          <w:tcPr>
            <w:tcW w:w="719" w:type="dxa"/>
            <w:tcBorders>
              <w:left w:val="single" w:sz="4" w:space="0" w:color="auto"/>
              <w:right w:val="single" w:sz="4" w:space="0" w:color="auto"/>
            </w:tcBorders>
          </w:tcPr>
          <w:p w14:paraId="64212094" w14:textId="67337DDD" w:rsidR="00986CA6" w:rsidRPr="00631C1B" w:rsidRDefault="00986CA6" w:rsidP="00986CA6">
            <w:pPr>
              <w:jc w:val="center"/>
              <w:rPr>
                <w:sz w:val="18"/>
                <w:szCs w:val="18"/>
              </w:rPr>
            </w:pPr>
            <w:r w:rsidRPr="00631C1B">
              <w:rPr>
                <w:sz w:val="18"/>
                <w:szCs w:val="18"/>
              </w:rPr>
              <w:t>77.8%</w:t>
            </w:r>
          </w:p>
        </w:tc>
        <w:tc>
          <w:tcPr>
            <w:tcW w:w="1220" w:type="dxa"/>
            <w:tcBorders>
              <w:left w:val="single" w:sz="4" w:space="0" w:color="auto"/>
            </w:tcBorders>
          </w:tcPr>
          <w:p w14:paraId="65EBAA73" w14:textId="1E27D952" w:rsidR="00986CA6" w:rsidRPr="00631C1B" w:rsidRDefault="00986CA6" w:rsidP="00986CA6">
            <w:pPr>
              <w:jc w:val="center"/>
              <w:rPr>
                <w:sz w:val="18"/>
                <w:szCs w:val="18"/>
              </w:rPr>
            </w:pPr>
            <w:r w:rsidRPr="00631C1B">
              <w:rPr>
                <w:sz w:val="18"/>
                <w:szCs w:val="18"/>
              </w:rPr>
              <w:t>5,528</w:t>
            </w:r>
          </w:p>
        </w:tc>
        <w:tc>
          <w:tcPr>
            <w:tcW w:w="722" w:type="dxa"/>
            <w:tcBorders>
              <w:left w:val="single" w:sz="4" w:space="0" w:color="auto"/>
            </w:tcBorders>
          </w:tcPr>
          <w:p w14:paraId="45781C05" w14:textId="79C8E91D" w:rsidR="00986CA6" w:rsidRPr="00631C1B" w:rsidRDefault="00986CA6" w:rsidP="00986CA6">
            <w:pPr>
              <w:jc w:val="center"/>
              <w:rPr>
                <w:sz w:val="18"/>
                <w:szCs w:val="18"/>
              </w:rPr>
            </w:pPr>
            <w:r w:rsidRPr="00631C1B">
              <w:rPr>
                <w:sz w:val="18"/>
                <w:szCs w:val="18"/>
              </w:rPr>
              <w:t>61.5%</w:t>
            </w:r>
          </w:p>
        </w:tc>
      </w:tr>
      <w:tr w:rsidR="00986CA6" w:rsidRPr="00631C1B" w14:paraId="04571160" w14:textId="51A8E40F" w:rsidTr="00B841EB">
        <w:tc>
          <w:tcPr>
            <w:tcW w:w="1185" w:type="dxa"/>
            <w:tcBorders>
              <w:right w:val="single" w:sz="4" w:space="0" w:color="auto"/>
            </w:tcBorders>
          </w:tcPr>
          <w:p w14:paraId="48B14C6B" w14:textId="77777777" w:rsidR="00986CA6" w:rsidRPr="00631C1B" w:rsidRDefault="00986CA6" w:rsidP="00986CA6">
            <w:pPr>
              <w:rPr>
                <w:sz w:val="18"/>
                <w:szCs w:val="18"/>
              </w:rPr>
            </w:pPr>
            <w:r w:rsidRPr="00631C1B">
              <w:rPr>
                <w:rFonts w:cs="Arial"/>
                <w:color w:val="000000"/>
                <w:sz w:val="18"/>
                <w:szCs w:val="18"/>
              </w:rPr>
              <w:t>0-30%</w:t>
            </w:r>
          </w:p>
        </w:tc>
        <w:tc>
          <w:tcPr>
            <w:tcW w:w="1274" w:type="dxa"/>
            <w:tcBorders>
              <w:left w:val="single" w:sz="4" w:space="0" w:color="auto"/>
              <w:right w:val="single" w:sz="4" w:space="0" w:color="auto"/>
            </w:tcBorders>
          </w:tcPr>
          <w:p w14:paraId="54CD8155" w14:textId="4E5E00FE" w:rsidR="00986CA6" w:rsidRPr="00631C1B" w:rsidRDefault="00986CA6" w:rsidP="00986CA6">
            <w:pPr>
              <w:jc w:val="center"/>
              <w:rPr>
                <w:sz w:val="18"/>
                <w:szCs w:val="18"/>
              </w:rPr>
            </w:pPr>
            <w:r w:rsidRPr="00631C1B">
              <w:rPr>
                <w:sz w:val="18"/>
                <w:szCs w:val="18"/>
              </w:rPr>
              <w:t>3,606</w:t>
            </w:r>
          </w:p>
        </w:tc>
        <w:tc>
          <w:tcPr>
            <w:tcW w:w="719" w:type="dxa"/>
            <w:tcBorders>
              <w:left w:val="single" w:sz="4" w:space="0" w:color="auto"/>
              <w:right w:val="single" w:sz="4" w:space="0" w:color="auto"/>
            </w:tcBorders>
          </w:tcPr>
          <w:p w14:paraId="6AE77943" w14:textId="0758E4A5" w:rsidR="00986CA6" w:rsidRPr="00631C1B" w:rsidRDefault="00986CA6" w:rsidP="00986CA6">
            <w:pPr>
              <w:jc w:val="center"/>
              <w:rPr>
                <w:sz w:val="18"/>
                <w:szCs w:val="18"/>
              </w:rPr>
            </w:pPr>
            <w:r w:rsidRPr="00631C1B">
              <w:rPr>
                <w:sz w:val="18"/>
                <w:szCs w:val="18"/>
              </w:rPr>
              <w:t>61.4%</w:t>
            </w:r>
          </w:p>
        </w:tc>
        <w:tc>
          <w:tcPr>
            <w:tcW w:w="1262" w:type="dxa"/>
            <w:tcBorders>
              <w:left w:val="single" w:sz="4" w:space="0" w:color="auto"/>
              <w:right w:val="single" w:sz="4" w:space="0" w:color="auto"/>
            </w:tcBorders>
          </w:tcPr>
          <w:p w14:paraId="4D23E1F2" w14:textId="0A0A94A1" w:rsidR="00986CA6" w:rsidRPr="00631C1B" w:rsidRDefault="00986CA6" w:rsidP="00986CA6">
            <w:pPr>
              <w:jc w:val="center"/>
              <w:rPr>
                <w:sz w:val="18"/>
                <w:szCs w:val="18"/>
              </w:rPr>
            </w:pPr>
            <w:r w:rsidRPr="00631C1B">
              <w:rPr>
                <w:sz w:val="18"/>
                <w:szCs w:val="18"/>
              </w:rPr>
              <w:t>2,742</w:t>
            </w:r>
          </w:p>
        </w:tc>
        <w:tc>
          <w:tcPr>
            <w:tcW w:w="719" w:type="dxa"/>
            <w:tcBorders>
              <w:left w:val="single" w:sz="4" w:space="0" w:color="auto"/>
              <w:right w:val="single" w:sz="4" w:space="0" w:color="auto"/>
            </w:tcBorders>
          </w:tcPr>
          <w:p w14:paraId="749FDC40" w14:textId="52F4975D" w:rsidR="00986CA6" w:rsidRPr="00631C1B" w:rsidRDefault="00986CA6" w:rsidP="00986CA6">
            <w:pPr>
              <w:jc w:val="center"/>
              <w:rPr>
                <w:sz w:val="18"/>
                <w:szCs w:val="18"/>
              </w:rPr>
            </w:pPr>
            <w:r w:rsidRPr="00631C1B">
              <w:rPr>
                <w:sz w:val="18"/>
                <w:szCs w:val="18"/>
              </w:rPr>
              <w:t>88.3%</w:t>
            </w:r>
          </w:p>
        </w:tc>
        <w:tc>
          <w:tcPr>
            <w:tcW w:w="1220" w:type="dxa"/>
            <w:tcBorders>
              <w:left w:val="single" w:sz="4" w:space="0" w:color="auto"/>
            </w:tcBorders>
          </w:tcPr>
          <w:p w14:paraId="33D16D33" w14:textId="4E26E9AE" w:rsidR="00986CA6" w:rsidRPr="00631C1B" w:rsidRDefault="00986CA6" w:rsidP="00986CA6">
            <w:pPr>
              <w:jc w:val="center"/>
              <w:rPr>
                <w:sz w:val="18"/>
                <w:szCs w:val="18"/>
              </w:rPr>
            </w:pPr>
            <w:r w:rsidRPr="00631C1B">
              <w:rPr>
                <w:sz w:val="18"/>
                <w:szCs w:val="18"/>
              </w:rPr>
              <w:t>6,348</w:t>
            </w:r>
          </w:p>
        </w:tc>
        <w:tc>
          <w:tcPr>
            <w:tcW w:w="722" w:type="dxa"/>
            <w:tcBorders>
              <w:left w:val="single" w:sz="4" w:space="0" w:color="auto"/>
            </w:tcBorders>
          </w:tcPr>
          <w:p w14:paraId="5741E4D2" w14:textId="45DFA9CD" w:rsidR="00986CA6" w:rsidRPr="00631C1B" w:rsidRDefault="00986CA6" w:rsidP="00986CA6">
            <w:pPr>
              <w:jc w:val="center"/>
              <w:rPr>
                <w:sz w:val="18"/>
                <w:szCs w:val="18"/>
              </w:rPr>
            </w:pPr>
            <w:r w:rsidRPr="00631C1B">
              <w:rPr>
                <w:sz w:val="18"/>
                <w:szCs w:val="18"/>
              </w:rPr>
              <w:t>70.7%</w:t>
            </w:r>
          </w:p>
        </w:tc>
      </w:tr>
      <w:tr w:rsidR="00986CA6" w:rsidRPr="00631C1B" w14:paraId="5D651058" w14:textId="23274723" w:rsidTr="00B841EB">
        <w:tc>
          <w:tcPr>
            <w:tcW w:w="1185" w:type="dxa"/>
            <w:tcBorders>
              <w:right w:val="single" w:sz="4" w:space="0" w:color="auto"/>
            </w:tcBorders>
          </w:tcPr>
          <w:p w14:paraId="1B424D2B" w14:textId="77777777" w:rsidR="00986CA6" w:rsidRPr="00631C1B" w:rsidRDefault="00986CA6" w:rsidP="00986CA6">
            <w:pPr>
              <w:rPr>
                <w:sz w:val="18"/>
                <w:szCs w:val="18"/>
              </w:rPr>
            </w:pPr>
            <w:r w:rsidRPr="00631C1B">
              <w:rPr>
                <w:rFonts w:cs="Arial"/>
                <w:color w:val="000000"/>
                <w:sz w:val="18"/>
                <w:szCs w:val="18"/>
              </w:rPr>
              <w:t>0-40%</w:t>
            </w:r>
          </w:p>
        </w:tc>
        <w:tc>
          <w:tcPr>
            <w:tcW w:w="1274" w:type="dxa"/>
            <w:tcBorders>
              <w:left w:val="single" w:sz="4" w:space="0" w:color="auto"/>
              <w:right w:val="single" w:sz="4" w:space="0" w:color="auto"/>
            </w:tcBorders>
          </w:tcPr>
          <w:p w14:paraId="5997346D" w14:textId="0715F16D" w:rsidR="00986CA6" w:rsidRPr="00631C1B" w:rsidRDefault="00986CA6" w:rsidP="00986CA6">
            <w:pPr>
              <w:jc w:val="center"/>
              <w:rPr>
                <w:sz w:val="18"/>
                <w:szCs w:val="18"/>
              </w:rPr>
            </w:pPr>
            <w:r w:rsidRPr="00631C1B">
              <w:rPr>
                <w:sz w:val="18"/>
                <w:szCs w:val="18"/>
              </w:rPr>
              <w:t>4,108</w:t>
            </w:r>
          </w:p>
        </w:tc>
        <w:tc>
          <w:tcPr>
            <w:tcW w:w="719" w:type="dxa"/>
            <w:tcBorders>
              <w:left w:val="single" w:sz="4" w:space="0" w:color="auto"/>
              <w:right w:val="single" w:sz="4" w:space="0" w:color="auto"/>
            </w:tcBorders>
          </w:tcPr>
          <w:p w14:paraId="18C31038" w14:textId="6FDB8E21" w:rsidR="00986CA6" w:rsidRPr="00631C1B" w:rsidRDefault="00986CA6" w:rsidP="00986CA6">
            <w:pPr>
              <w:jc w:val="center"/>
              <w:rPr>
                <w:sz w:val="18"/>
                <w:szCs w:val="18"/>
              </w:rPr>
            </w:pPr>
            <w:r w:rsidRPr="00631C1B">
              <w:rPr>
                <w:sz w:val="18"/>
                <w:szCs w:val="18"/>
              </w:rPr>
              <w:t>69.9%</w:t>
            </w:r>
          </w:p>
        </w:tc>
        <w:tc>
          <w:tcPr>
            <w:tcW w:w="1262" w:type="dxa"/>
            <w:tcBorders>
              <w:left w:val="single" w:sz="4" w:space="0" w:color="auto"/>
              <w:right w:val="single" w:sz="4" w:space="0" w:color="auto"/>
            </w:tcBorders>
          </w:tcPr>
          <w:p w14:paraId="0E51E6EC" w14:textId="750E9061" w:rsidR="00986CA6" w:rsidRPr="00631C1B" w:rsidRDefault="00986CA6" w:rsidP="00986CA6">
            <w:pPr>
              <w:jc w:val="center"/>
              <w:rPr>
                <w:sz w:val="18"/>
                <w:szCs w:val="18"/>
              </w:rPr>
            </w:pPr>
            <w:r w:rsidRPr="00631C1B">
              <w:rPr>
                <w:sz w:val="18"/>
                <w:szCs w:val="18"/>
              </w:rPr>
              <w:t>2,845</w:t>
            </w:r>
          </w:p>
        </w:tc>
        <w:tc>
          <w:tcPr>
            <w:tcW w:w="719" w:type="dxa"/>
            <w:tcBorders>
              <w:left w:val="single" w:sz="4" w:space="0" w:color="auto"/>
              <w:right w:val="single" w:sz="4" w:space="0" w:color="auto"/>
            </w:tcBorders>
          </w:tcPr>
          <w:p w14:paraId="7714B683" w14:textId="4AC5CC7A" w:rsidR="00986CA6" w:rsidRPr="00631C1B" w:rsidRDefault="00986CA6" w:rsidP="00986CA6">
            <w:pPr>
              <w:jc w:val="center"/>
              <w:rPr>
                <w:sz w:val="18"/>
                <w:szCs w:val="18"/>
              </w:rPr>
            </w:pPr>
            <w:r w:rsidRPr="00631C1B">
              <w:rPr>
                <w:sz w:val="18"/>
                <w:szCs w:val="18"/>
              </w:rPr>
              <w:t>91.6%</w:t>
            </w:r>
          </w:p>
        </w:tc>
        <w:tc>
          <w:tcPr>
            <w:tcW w:w="1220" w:type="dxa"/>
            <w:tcBorders>
              <w:left w:val="single" w:sz="4" w:space="0" w:color="auto"/>
            </w:tcBorders>
          </w:tcPr>
          <w:p w14:paraId="70AAA411" w14:textId="0773E442" w:rsidR="00986CA6" w:rsidRPr="00631C1B" w:rsidRDefault="00986CA6" w:rsidP="00986CA6">
            <w:pPr>
              <w:jc w:val="center"/>
              <w:rPr>
                <w:sz w:val="18"/>
                <w:szCs w:val="18"/>
              </w:rPr>
            </w:pPr>
            <w:r w:rsidRPr="00631C1B">
              <w:rPr>
                <w:sz w:val="18"/>
                <w:szCs w:val="18"/>
              </w:rPr>
              <w:t>6,953</w:t>
            </w:r>
          </w:p>
        </w:tc>
        <w:tc>
          <w:tcPr>
            <w:tcW w:w="722" w:type="dxa"/>
            <w:tcBorders>
              <w:left w:val="single" w:sz="4" w:space="0" w:color="auto"/>
            </w:tcBorders>
          </w:tcPr>
          <w:p w14:paraId="34E0BD6B" w14:textId="04086384" w:rsidR="00986CA6" w:rsidRPr="00631C1B" w:rsidRDefault="00986CA6" w:rsidP="00986CA6">
            <w:pPr>
              <w:jc w:val="center"/>
              <w:rPr>
                <w:sz w:val="18"/>
                <w:szCs w:val="18"/>
              </w:rPr>
            </w:pPr>
            <w:r w:rsidRPr="00631C1B">
              <w:rPr>
                <w:sz w:val="18"/>
                <w:szCs w:val="18"/>
              </w:rPr>
              <w:t>77.4%</w:t>
            </w:r>
          </w:p>
        </w:tc>
      </w:tr>
      <w:tr w:rsidR="00986CA6" w:rsidRPr="00631C1B" w14:paraId="2DB3F6FA" w14:textId="37A7262B" w:rsidTr="00B841EB">
        <w:tc>
          <w:tcPr>
            <w:tcW w:w="1185" w:type="dxa"/>
            <w:tcBorders>
              <w:right w:val="single" w:sz="4" w:space="0" w:color="auto"/>
            </w:tcBorders>
          </w:tcPr>
          <w:p w14:paraId="0930D6AA" w14:textId="77777777" w:rsidR="00986CA6" w:rsidRPr="00631C1B" w:rsidRDefault="00986CA6" w:rsidP="00986CA6">
            <w:pPr>
              <w:rPr>
                <w:sz w:val="18"/>
                <w:szCs w:val="18"/>
              </w:rPr>
            </w:pPr>
            <w:r w:rsidRPr="00631C1B">
              <w:rPr>
                <w:rFonts w:cs="Arial"/>
                <w:color w:val="000000"/>
                <w:sz w:val="18"/>
                <w:szCs w:val="18"/>
              </w:rPr>
              <w:t>0-50%</w:t>
            </w:r>
          </w:p>
        </w:tc>
        <w:tc>
          <w:tcPr>
            <w:tcW w:w="1274" w:type="dxa"/>
            <w:tcBorders>
              <w:left w:val="single" w:sz="4" w:space="0" w:color="auto"/>
              <w:right w:val="single" w:sz="4" w:space="0" w:color="auto"/>
            </w:tcBorders>
          </w:tcPr>
          <w:p w14:paraId="31A7F14E" w14:textId="7E29B68A" w:rsidR="00986CA6" w:rsidRPr="00631C1B" w:rsidRDefault="00986CA6" w:rsidP="00986CA6">
            <w:pPr>
              <w:jc w:val="center"/>
              <w:rPr>
                <w:sz w:val="18"/>
                <w:szCs w:val="18"/>
              </w:rPr>
            </w:pPr>
            <w:r w:rsidRPr="00631C1B">
              <w:rPr>
                <w:sz w:val="18"/>
                <w:szCs w:val="18"/>
              </w:rPr>
              <w:t>4,528</w:t>
            </w:r>
          </w:p>
        </w:tc>
        <w:tc>
          <w:tcPr>
            <w:tcW w:w="719" w:type="dxa"/>
            <w:tcBorders>
              <w:left w:val="single" w:sz="4" w:space="0" w:color="auto"/>
              <w:right w:val="single" w:sz="4" w:space="0" w:color="auto"/>
            </w:tcBorders>
          </w:tcPr>
          <w:p w14:paraId="12E103FF" w14:textId="214CBF60" w:rsidR="00986CA6" w:rsidRPr="00631C1B" w:rsidRDefault="00986CA6" w:rsidP="00986CA6">
            <w:pPr>
              <w:jc w:val="center"/>
              <w:rPr>
                <w:sz w:val="18"/>
                <w:szCs w:val="18"/>
              </w:rPr>
            </w:pPr>
            <w:r w:rsidRPr="00631C1B">
              <w:rPr>
                <w:sz w:val="18"/>
                <w:szCs w:val="18"/>
              </w:rPr>
              <w:t>77.1%</w:t>
            </w:r>
          </w:p>
        </w:tc>
        <w:tc>
          <w:tcPr>
            <w:tcW w:w="1262" w:type="dxa"/>
            <w:tcBorders>
              <w:left w:val="single" w:sz="4" w:space="0" w:color="auto"/>
              <w:right w:val="single" w:sz="4" w:space="0" w:color="auto"/>
            </w:tcBorders>
          </w:tcPr>
          <w:p w14:paraId="5D630C20" w14:textId="4A96AB0E" w:rsidR="00986CA6" w:rsidRPr="00631C1B" w:rsidRDefault="00986CA6" w:rsidP="00986CA6">
            <w:pPr>
              <w:jc w:val="center"/>
              <w:rPr>
                <w:sz w:val="18"/>
                <w:szCs w:val="18"/>
              </w:rPr>
            </w:pPr>
            <w:r w:rsidRPr="00631C1B">
              <w:rPr>
                <w:sz w:val="18"/>
                <w:szCs w:val="18"/>
              </w:rPr>
              <w:t>2,908</w:t>
            </w:r>
          </w:p>
        </w:tc>
        <w:tc>
          <w:tcPr>
            <w:tcW w:w="719" w:type="dxa"/>
            <w:tcBorders>
              <w:left w:val="single" w:sz="4" w:space="0" w:color="auto"/>
              <w:right w:val="single" w:sz="4" w:space="0" w:color="auto"/>
            </w:tcBorders>
          </w:tcPr>
          <w:p w14:paraId="3BD51432" w14:textId="112D09FC" w:rsidR="00986CA6" w:rsidRPr="00631C1B" w:rsidRDefault="00986CA6" w:rsidP="00986CA6">
            <w:pPr>
              <w:jc w:val="center"/>
              <w:rPr>
                <w:sz w:val="18"/>
                <w:szCs w:val="18"/>
              </w:rPr>
            </w:pPr>
            <w:r w:rsidRPr="00631C1B">
              <w:rPr>
                <w:sz w:val="18"/>
                <w:szCs w:val="18"/>
              </w:rPr>
              <w:t>93.6%</w:t>
            </w:r>
          </w:p>
        </w:tc>
        <w:tc>
          <w:tcPr>
            <w:tcW w:w="1220" w:type="dxa"/>
            <w:tcBorders>
              <w:left w:val="single" w:sz="4" w:space="0" w:color="auto"/>
            </w:tcBorders>
          </w:tcPr>
          <w:p w14:paraId="7874A391" w14:textId="701EC08B" w:rsidR="00986CA6" w:rsidRPr="00631C1B" w:rsidRDefault="00986CA6" w:rsidP="00986CA6">
            <w:pPr>
              <w:jc w:val="center"/>
              <w:rPr>
                <w:sz w:val="18"/>
                <w:szCs w:val="18"/>
              </w:rPr>
            </w:pPr>
            <w:r w:rsidRPr="00631C1B">
              <w:rPr>
                <w:sz w:val="18"/>
                <w:szCs w:val="18"/>
              </w:rPr>
              <w:t>7,436</w:t>
            </w:r>
          </w:p>
        </w:tc>
        <w:tc>
          <w:tcPr>
            <w:tcW w:w="722" w:type="dxa"/>
            <w:tcBorders>
              <w:left w:val="single" w:sz="4" w:space="0" w:color="auto"/>
            </w:tcBorders>
          </w:tcPr>
          <w:p w14:paraId="227000D0" w14:textId="66CD87BC" w:rsidR="00986CA6" w:rsidRPr="00631C1B" w:rsidRDefault="00986CA6" w:rsidP="00986CA6">
            <w:pPr>
              <w:jc w:val="center"/>
              <w:rPr>
                <w:sz w:val="18"/>
                <w:szCs w:val="18"/>
              </w:rPr>
            </w:pPr>
            <w:r w:rsidRPr="00631C1B">
              <w:rPr>
                <w:sz w:val="18"/>
                <w:szCs w:val="18"/>
              </w:rPr>
              <w:t>82.8%</w:t>
            </w:r>
          </w:p>
        </w:tc>
      </w:tr>
      <w:tr w:rsidR="00986CA6" w:rsidRPr="00631C1B" w14:paraId="1357D188" w14:textId="5D70D831" w:rsidTr="00B841EB">
        <w:tc>
          <w:tcPr>
            <w:tcW w:w="1185" w:type="dxa"/>
            <w:tcBorders>
              <w:right w:val="single" w:sz="4" w:space="0" w:color="auto"/>
            </w:tcBorders>
          </w:tcPr>
          <w:p w14:paraId="6C168DB0" w14:textId="77777777" w:rsidR="00986CA6" w:rsidRPr="00631C1B" w:rsidRDefault="00986CA6" w:rsidP="00986CA6">
            <w:pPr>
              <w:rPr>
                <w:sz w:val="18"/>
                <w:szCs w:val="18"/>
              </w:rPr>
            </w:pPr>
            <w:r w:rsidRPr="00631C1B">
              <w:rPr>
                <w:rFonts w:cs="Arial"/>
                <w:color w:val="000000"/>
                <w:sz w:val="18"/>
                <w:szCs w:val="18"/>
              </w:rPr>
              <w:t>50-100%</w:t>
            </w:r>
          </w:p>
        </w:tc>
        <w:tc>
          <w:tcPr>
            <w:tcW w:w="1274" w:type="dxa"/>
            <w:tcBorders>
              <w:left w:val="single" w:sz="4" w:space="0" w:color="auto"/>
              <w:right w:val="single" w:sz="4" w:space="0" w:color="auto"/>
            </w:tcBorders>
          </w:tcPr>
          <w:p w14:paraId="384693F8" w14:textId="3F03A513" w:rsidR="00986CA6" w:rsidRPr="00631C1B" w:rsidRDefault="00986CA6" w:rsidP="00986CA6">
            <w:pPr>
              <w:jc w:val="center"/>
              <w:rPr>
                <w:sz w:val="18"/>
                <w:szCs w:val="18"/>
              </w:rPr>
            </w:pPr>
            <w:r w:rsidRPr="00631C1B">
              <w:rPr>
                <w:sz w:val="18"/>
                <w:szCs w:val="18"/>
              </w:rPr>
              <w:t>1,347</w:t>
            </w:r>
          </w:p>
        </w:tc>
        <w:tc>
          <w:tcPr>
            <w:tcW w:w="719" w:type="dxa"/>
            <w:tcBorders>
              <w:left w:val="single" w:sz="4" w:space="0" w:color="auto"/>
              <w:right w:val="single" w:sz="4" w:space="0" w:color="auto"/>
            </w:tcBorders>
          </w:tcPr>
          <w:p w14:paraId="06A774D4" w14:textId="09E09BF4" w:rsidR="00986CA6" w:rsidRPr="00631C1B" w:rsidRDefault="00986CA6" w:rsidP="00986CA6">
            <w:pPr>
              <w:jc w:val="center"/>
              <w:rPr>
                <w:sz w:val="18"/>
                <w:szCs w:val="18"/>
              </w:rPr>
            </w:pPr>
            <w:r w:rsidRPr="00631C1B">
              <w:rPr>
                <w:sz w:val="18"/>
                <w:szCs w:val="18"/>
              </w:rPr>
              <w:t>22.9%</w:t>
            </w:r>
          </w:p>
        </w:tc>
        <w:tc>
          <w:tcPr>
            <w:tcW w:w="1262" w:type="dxa"/>
            <w:tcBorders>
              <w:left w:val="single" w:sz="4" w:space="0" w:color="auto"/>
              <w:right w:val="single" w:sz="4" w:space="0" w:color="auto"/>
            </w:tcBorders>
          </w:tcPr>
          <w:p w14:paraId="6139936C" w14:textId="043F5E6E" w:rsidR="00986CA6" w:rsidRPr="00631C1B" w:rsidRDefault="00986CA6" w:rsidP="00986CA6">
            <w:pPr>
              <w:jc w:val="center"/>
              <w:rPr>
                <w:sz w:val="18"/>
                <w:szCs w:val="18"/>
              </w:rPr>
            </w:pPr>
            <w:r w:rsidRPr="00631C1B">
              <w:rPr>
                <w:sz w:val="18"/>
                <w:szCs w:val="18"/>
              </w:rPr>
              <w:t>199</w:t>
            </w:r>
          </w:p>
        </w:tc>
        <w:tc>
          <w:tcPr>
            <w:tcW w:w="719" w:type="dxa"/>
            <w:tcBorders>
              <w:left w:val="single" w:sz="4" w:space="0" w:color="auto"/>
              <w:right w:val="single" w:sz="4" w:space="0" w:color="auto"/>
            </w:tcBorders>
          </w:tcPr>
          <w:p w14:paraId="78D98F17" w14:textId="0E16493A" w:rsidR="00986CA6" w:rsidRPr="00631C1B" w:rsidRDefault="00986CA6" w:rsidP="00986CA6">
            <w:pPr>
              <w:jc w:val="center"/>
              <w:rPr>
                <w:sz w:val="18"/>
                <w:szCs w:val="18"/>
              </w:rPr>
            </w:pPr>
            <w:r w:rsidRPr="00631C1B">
              <w:rPr>
                <w:sz w:val="18"/>
                <w:szCs w:val="18"/>
              </w:rPr>
              <w:t>6.4%</w:t>
            </w:r>
          </w:p>
        </w:tc>
        <w:tc>
          <w:tcPr>
            <w:tcW w:w="1220" w:type="dxa"/>
            <w:tcBorders>
              <w:left w:val="single" w:sz="4" w:space="0" w:color="auto"/>
            </w:tcBorders>
          </w:tcPr>
          <w:p w14:paraId="4D536508" w14:textId="1A2BE5A3" w:rsidR="00986CA6" w:rsidRPr="00631C1B" w:rsidRDefault="00986CA6" w:rsidP="00986CA6">
            <w:pPr>
              <w:jc w:val="center"/>
              <w:rPr>
                <w:sz w:val="18"/>
                <w:szCs w:val="18"/>
              </w:rPr>
            </w:pPr>
            <w:r w:rsidRPr="00631C1B">
              <w:rPr>
                <w:sz w:val="18"/>
                <w:szCs w:val="18"/>
              </w:rPr>
              <w:t>1,546</w:t>
            </w:r>
          </w:p>
        </w:tc>
        <w:tc>
          <w:tcPr>
            <w:tcW w:w="722" w:type="dxa"/>
            <w:tcBorders>
              <w:left w:val="single" w:sz="4" w:space="0" w:color="auto"/>
            </w:tcBorders>
          </w:tcPr>
          <w:p w14:paraId="4D22C9A2" w14:textId="211555BD" w:rsidR="00986CA6" w:rsidRPr="00631C1B" w:rsidRDefault="00986CA6" w:rsidP="00986CA6">
            <w:pPr>
              <w:jc w:val="center"/>
              <w:rPr>
                <w:sz w:val="18"/>
                <w:szCs w:val="18"/>
              </w:rPr>
            </w:pPr>
            <w:r w:rsidRPr="00631C1B">
              <w:rPr>
                <w:sz w:val="18"/>
                <w:szCs w:val="18"/>
              </w:rPr>
              <w:t>17.2%</w:t>
            </w:r>
          </w:p>
        </w:tc>
      </w:tr>
      <w:tr w:rsidR="00986CA6" w:rsidRPr="00631C1B" w14:paraId="25A19EBF" w14:textId="05D40159" w:rsidTr="00B841EB">
        <w:tc>
          <w:tcPr>
            <w:tcW w:w="1185" w:type="dxa"/>
            <w:tcBorders>
              <w:right w:val="single" w:sz="4" w:space="0" w:color="auto"/>
            </w:tcBorders>
          </w:tcPr>
          <w:p w14:paraId="16F7389C" w14:textId="77777777" w:rsidR="00986CA6" w:rsidRPr="00631C1B" w:rsidRDefault="00986CA6" w:rsidP="00986CA6">
            <w:pPr>
              <w:rPr>
                <w:sz w:val="18"/>
                <w:szCs w:val="18"/>
              </w:rPr>
            </w:pPr>
            <w:r w:rsidRPr="00631C1B">
              <w:rPr>
                <w:rFonts w:cs="Arial"/>
                <w:b/>
                <w:bCs/>
                <w:color w:val="000000"/>
                <w:sz w:val="18"/>
                <w:szCs w:val="18"/>
              </w:rPr>
              <w:t>Total</w:t>
            </w:r>
          </w:p>
        </w:tc>
        <w:tc>
          <w:tcPr>
            <w:tcW w:w="1274" w:type="dxa"/>
            <w:tcBorders>
              <w:left w:val="single" w:sz="4" w:space="0" w:color="auto"/>
              <w:bottom w:val="nil"/>
              <w:right w:val="single" w:sz="4" w:space="0" w:color="auto"/>
            </w:tcBorders>
          </w:tcPr>
          <w:p w14:paraId="25436EB2" w14:textId="6C681C38" w:rsidR="00986CA6" w:rsidRPr="00631C1B" w:rsidRDefault="00986CA6" w:rsidP="00986CA6">
            <w:pPr>
              <w:jc w:val="center"/>
              <w:rPr>
                <w:b/>
                <w:bCs/>
                <w:sz w:val="18"/>
                <w:szCs w:val="18"/>
              </w:rPr>
            </w:pPr>
            <w:r w:rsidRPr="00631C1B">
              <w:rPr>
                <w:b/>
                <w:bCs/>
                <w:sz w:val="18"/>
                <w:szCs w:val="18"/>
              </w:rPr>
              <w:t>5,875</w:t>
            </w:r>
          </w:p>
        </w:tc>
        <w:tc>
          <w:tcPr>
            <w:tcW w:w="719" w:type="dxa"/>
            <w:tcBorders>
              <w:left w:val="single" w:sz="4" w:space="0" w:color="auto"/>
              <w:bottom w:val="nil"/>
              <w:right w:val="single" w:sz="4" w:space="0" w:color="auto"/>
            </w:tcBorders>
          </w:tcPr>
          <w:p w14:paraId="26FA7B15" w14:textId="710F7319" w:rsidR="00986CA6" w:rsidRPr="00631C1B" w:rsidRDefault="00986CA6" w:rsidP="00986CA6">
            <w:pPr>
              <w:jc w:val="center"/>
              <w:rPr>
                <w:b/>
                <w:bCs/>
                <w:sz w:val="18"/>
                <w:szCs w:val="18"/>
              </w:rPr>
            </w:pPr>
            <w:r w:rsidRPr="00631C1B">
              <w:rPr>
                <w:b/>
                <w:bCs/>
                <w:sz w:val="18"/>
                <w:szCs w:val="18"/>
              </w:rPr>
              <w:t>100.0%</w:t>
            </w:r>
          </w:p>
        </w:tc>
        <w:tc>
          <w:tcPr>
            <w:tcW w:w="1262" w:type="dxa"/>
            <w:tcBorders>
              <w:left w:val="single" w:sz="4" w:space="0" w:color="auto"/>
              <w:bottom w:val="nil"/>
              <w:right w:val="single" w:sz="4" w:space="0" w:color="auto"/>
            </w:tcBorders>
          </w:tcPr>
          <w:p w14:paraId="725094FD" w14:textId="63259794" w:rsidR="00986CA6" w:rsidRPr="00631C1B" w:rsidRDefault="00986CA6" w:rsidP="00986CA6">
            <w:pPr>
              <w:jc w:val="center"/>
              <w:rPr>
                <w:b/>
                <w:bCs/>
                <w:sz w:val="18"/>
                <w:szCs w:val="18"/>
              </w:rPr>
            </w:pPr>
            <w:r w:rsidRPr="00631C1B">
              <w:rPr>
                <w:b/>
                <w:bCs/>
                <w:sz w:val="18"/>
                <w:szCs w:val="18"/>
              </w:rPr>
              <w:t>3,107</w:t>
            </w:r>
          </w:p>
        </w:tc>
        <w:tc>
          <w:tcPr>
            <w:tcW w:w="719" w:type="dxa"/>
            <w:tcBorders>
              <w:left w:val="single" w:sz="4" w:space="0" w:color="auto"/>
              <w:bottom w:val="nil"/>
              <w:right w:val="single" w:sz="4" w:space="0" w:color="auto"/>
            </w:tcBorders>
          </w:tcPr>
          <w:p w14:paraId="1870AF3D" w14:textId="34350260" w:rsidR="00986CA6" w:rsidRPr="00631C1B" w:rsidRDefault="00986CA6" w:rsidP="00986CA6">
            <w:pPr>
              <w:jc w:val="center"/>
              <w:rPr>
                <w:b/>
                <w:bCs/>
                <w:sz w:val="18"/>
                <w:szCs w:val="18"/>
              </w:rPr>
            </w:pPr>
            <w:r w:rsidRPr="00631C1B">
              <w:rPr>
                <w:b/>
                <w:bCs/>
                <w:sz w:val="18"/>
                <w:szCs w:val="18"/>
              </w:rPr>
              <w:t>100.0%</w:t>
            </w:r>
          </w:p>
        </w:tc>
        <w:tc>
          <w:tcPr>
            <w:tcW w:w="1220" w:type="dxa"/>
            <w:tcBorders>
              <w:left w:val="single" w:sz="4" w:space="0" w:color="auto"/>
              <w:bottom w:val="nil"/>
            </w:tcBorders>
          </w:tcPr>
          <w:p w14:paraId="35FF7E6B" w14:textId="1BEB4937" w:rsidR="00986CA6" w:rsidRPr="00631C1B" w:rsidRDefault="00986CA6" w:rsidP="00986CA6">
            <w:pPr>
              <w:jc w:val="center"/>
              <w:rPr>
                <w:b/>
                <w:bCs/>
                <w:sz w:val="18"/>
                <w:szCs w:val="18"/>
              </w:rPr>
            </w:pPr>
            <w:r w:rsidRPr="00631C1B">
              <w:rPr>
                <w:b/>
                <w:bCs/>
                <w:sz w:val="18"/>
                <w:szCs w:val="18"/>
              </w:rPr>
              <w:t>8,982</w:t>
            </w:r>
          </w:p>
        </w:tc>
        <w:tc>
          <w:tcPr>
            <w:tcW w:w="722" w:type="dxa"/>
            <w:tcBorders>
              <w:left w:val="single" w:sz="4" w:space="0" w:color="auto"/>
              <w:bottom w:val="nil"/>
            </w:tcBorders>
          </w:tcPr>
          <w:p w14:paraId="31446CCE" w14:textId="2C6496AD" w:rsidR="00986CA6" w:rsidRPr="00631C1B" w:rsidRDefault="00986CA6" w:rsidP="00986CA6">
            <w:pPr>
              <w:jc w:val="center"/>
              <w:rPr>
                <w:b/>
                <w:bCs/>
                <w:sz w:val="18"/>
                <w:szCs w:val="18"/>
              </w:rPr>
            </w:pPr>
            <w:r w:rsidRPr="00631C1B">
              <w:rPr>
                <w:b/>
                <w:bCs/>
                <w:sz w:val="18"/>
                <w:szCs w:val="18"/>
              </w:rPr>
              <w:t>100.0%</w:t>
            </w:r>
          </w:p>
        </w:tc>
      </w:tr>
    </w:tbl>
    <w:p w14:paraId="4453D0FD" w14:textId="77777777" w:rsidR="002D6617" w:rsidRPr="00631C1B" w:rsidRDefault="002D6617" w:rsidP="002D6617">
      <w:pPr>
        <w:pStyle w:val="Source"/>
      </w:pPr>
      <w:r w:rsidRPr="00631C1B">
        <w:t>Source: Creative Scotland / BOP Consulting (2020)</w:t>
      </w:r>
    </w:p>
    <w:p w14:paraId="1A1B7B0E" w14:textId="545B3683" w:rsidR="004C74AC" w:rsidRPr="00631C1B" w:rsidRDefault="004C74AC" w:rsidP="004C74AC">
      <w:pPr>
        <w:pStyle w:val="Heading1"/>
      </w:pPr>
      <w:bookmarkStart w:id="23" w:name="_Toc43980016"/>
      <w:r w:rsidRPr="00631C1B">
        <w:lastRenderedPageBreak/>
        <w:t xml:space="preserve">Impact on </w:t>
      </w:r>
      <w:r w:rsidR="00771D36" w:rsidRPr="00631C1B">
        <w:t>organisations</w:t>
      </w:r>
      <w:bookmarkEnd w:id="23"/>
    </w:p>
    <w:p w14:paraId="2B4C7678" w14:textId="2B0DDB28" w:rsidR="004C74AC" w:rsidRPr="00631C1B" w:rsidRDefault="005120D6" w:rsidP="004C74AC">
      <w:pPr>
        <w:pStyle w:val="BodyText"/>
      </w:pPr>
      <w:r w:rsidRPr="00631C1B">
        <w:t>T</w:t>
      </w:r>
      <w:r w:rsidR="00DD6611" w:rsidRPr="00631C1B">
        <w:t xml:space="preserve">he </w:t>
      </w:r>
      <w:proofErr w:type="spellStart"/>
      <w:r w:rsidR="00281FAF" w:rsidRPr="00631C1B">
        <w:t>CashBack</w:t>
      </w:r>
      <w:proofErr w:type="spellEnd"/>
      <w:r w:rsidR="00DD6611" w:rsidRPr="00631C1B">
        <w:t xml:space="preserve"> for Creativity programme </w:t>
      </w:r>
      <w:r w:rsidR="008343CE" w:rsidRPr="00631C1B">
        <w:t>impacted</w:t>
      </w:r>
      <w:r w:rsidR="00C73EF4" w:rsidRPr="00631C1B">
        <w:t xml:space="preserve">, directly and indirectly, </w:t>
      </w:r>
      <w:r w:rsidR="008343CE" w:rsidRPr="00631C1B">
        <w:t xml:space="preserve">on the </w:t>
      </w:r>
      <w:r w:rsidR="00EF1844" w:rsidRPr="00631C1B">
        <w:t>organisati</w:t>
      </w:r>
      <w:r w:rsidR="008343CE" w:rsidRPr="00631C1B">
        <w:t xml:space="preserve">ons </w:t>
      </w:r>
      <w:r w:rsidR="00917564" w:rsidRPr="00631C1B">
        <w:t>taking part</w:t>
      </w:r>
      <w:r w:rsidR="00DD6611" w:rsidRPr="00631C1B">
        <w:t xml:space="preserve">. </w:t>
      </w:r>
      <w:r w:rsidR="006F76BC" w:rsidRPr="00631C1B">
        <w:t xml:space="preserve">Impacts </w:t>
      </w:r>
      <w:r w:rsidR="008D5798" w:rsidRPr="00631C1B">
        <w:t>ranged from strategic and organisation</w:t>
      </w:r>
      <w:r w:rsidR="006F76BC" w:rsidRPr="00631C1B">
        <w:t>al</w:t>
      </w:r>
      <w:r w:rsidR="008D5798" w:rsidRPr="00631C1B">
        <w:t xml:space="preserve"> changes (e.g. new roles</w:t>
      </w:r>
      <w:r w:rsidR="00E20400" w:rsidRPr="00631C1B">
        <w:t xml:space="preserve"> created</w:t>
      </w:r>
      <w:r w:rsidR="008D5798" w:rsidRPr="00631C1B">
        <w:t xml:space="preserve">, </w:t>
      </w:r>
      <w:r w:rsidR="00E20400" w:rsidRPr="00631C1B">
        <w:t xml:space="preserve">adapted </w:t>
      </w:r>
      <w:r w:rsidR="001B5A50" w:rsidRPr="00631C1B">
        <w:t>delivery</w:t>
      </w:r>
      <w:r w:rsidR="0094534A" w:rsidRPr="00631C1B">
        <w:t xml:space="preserve"> and ways of working, </w:t>
      </w:r>
      <w:r w:rsidR="00834AA7" w:rsidRPr="00631C1B">
        <w:t xml:space="preserve">and </w:t>
      </w:r>
      <w:r w:rsidR="00E20400" w:rsidRPr="00631C1B">
        <w:t xml:space="preserve">new </w:t>
      </w:r>
      <w:r w:rsidR="001B5A50" w:rsidRPr="00631C1B">
        <w:t>partners</w:t>
      </w:r>
      <w:r w:rsidR="00E20400" w:rsidRPr="00631C1B">
        <w:t>hip working</w:t>
      </w:r>
      <w:r w:rsidR="001B5A50" w:rsidRPr="00631C1B">
        <w:t xml:space="preserve">), to </w:t>
      </w:r>
      <w:r w:rsidR="00D54376" w:rsidRPr="00631C1B">
        <w:t xml:space="preserve">institutional </w:t>
      </w:r>
      <w:r w:rsidR="00241DFE" w:rsidRPr="00631C1B">
        <w:t xml:space="preserve">learning, </w:t>
      </w:r>
      <w:r w:rsidR="0094534A" w:rsidRPr="00631C1B">
        <w:t>up</w:t>
      </w:r>
      <w:r w:rsidR="00241DFE" w:rsidRPr="00631C1B">
        <w:t>skill</w:t>
      </w:r>
      <w:r w:rsidR="00C3346C" w:rsidRPr="00631C1B">
        <w:t xml:space="preserve">ing of staff, enhanced organisational reputation, amongst others. This section </w:t>
      </w:r>
      <w:r w:rsidR="004543BC" w:rsidRPr="00631C1B">
        <w:t xml:space="preserve">outlines </w:t>
      </w:r>
      <w:r w:rsidR="00591CFE" w:rsidRPr="00631C1B">
        <w:t>the most significant of these</w:t>
      </w:r>
      <w:r w:rsidR="00917564" w:rsidRPr="00631C1B">
        <w:t>.</w:t>
      </w:r>
    </w:p>
    <w:p w14:paraId="566B976E" w14:textId="6B097760" w:rsidR="004C74AC" w:rsidRPr="00631C1B" w:rsidRDefault="004C74AC" w:rsidP="004C74AC">
      <w:pPr>
        <w:pStyle w:val="Subheadingnonumber"/>
      </w:pPr>
      <w:r w:rsidRPr="00631C1B">
        <w:t>Key findings</w:t>
      </w:r>
      <w:r w:rsidR="00AF094C" w:rsidRPr="00631C1B">
        <w:t xml:space="preserve"> for Year 3</w:t>
      </w:r>
    </w:p>
    <w:p w14:paraId="789D45A0" w14:textId="77777777" w:rsidR="004C74AC" w:rsidRPr="00631C1B" w:rsidRDefault="004C74AC" w:rsidP="004C74AC">
      <w:pPr>
        <w:pStyle w:val="BodyText"/>
        <w:rPr>
          <w:b/>
        </w:rPr>
      </w:pPr>
      <w:r w:rsidRPr="00631C1B">
        <w:rPr>
          <w:b/>
        </w:rPr>
        <w:t>Targeted fund</w:t>
      </w:r>
    </w:p>
    <w:p w14:paraId="28A1A43E" w14:textId="7B54FD0D" w:rsidR="008F5EEB" w:rsidRPr="00631C1B" w:rsidRDefault="008F5EEB" w:rsidP="008F5EEB">
      <w:pPr>
        <w:pStyle w:val="ListBullet"/>
        <w:rPr>
          <w:b/>
        </w:rPr>
      </w:pPr>
      <w:r w:rsidRPr="00631C1B">
        <w:t xml:space="preserve">By working with partners and greater participant numbers, </w:t>
      </w:r>
      <w:r w:rsidR="0002188D" w:rsidRPr="00631C1B">
        <w:t xml:space="preserve">12 of the 15 </w:t>
      </w:r>
      <w:r w:rsidR="00DE5C6C" w:rsidRPr="00631C1B">
        <w:t>Targeted Fun</w:t>
      </w:r>
      <w:r w:rsidR="001F5402" w:rsidRPr="00631C1B">
        <w:t>d</w:t>
      </w:r>
      <w:r w:rsidR="00DE5C6C" w:rsidRPr="00631C1B">
        <w:t xml:space="preserve"> </w:t>
      </w:r>
      <w:r w:rsidRPr="00631C1B">
        <w:t xml:space="preserve">organisations reported having greater and more positive exposure, both </w:t>
      </w:r>
      <w:r w:rsidR="0002188D" w:rsidRPr="00631C1B">
        <w:t>with</w:t>
      </w:r>
      <w:r w:rsidRPr="00631C1B">
        <w:t>in their sector</w:t>
      </w:r>
      <w:r w:rsidR="00C00B48" w:rsidRPr="00631C1B">
        <w:t xml:space="preserve"> (i.e. other cultural </w:t>
      </w:r>
      <w:r w:rsidR="00185A77" w:rsidRPr="00631C1B">
        <w:t>organisations</w:t>
      </w:r>
      <w:r w:rsidR="00C00B48" w:rsidRPr="00631C1B">
        <w:t>)</w:t>
      </w:r>
      <w:r w:rsidR="00833B1F" w:rsidRPr="00631C1B">
        <w:t>,</w:t>
      </w:r>
      <w:r w:rsidRPr="00631C1B">
        <w:t xml:space="preserve"> but also </w:t>
      </w:r>
      <w:r w:rsidR="003E341F" w:rsidRPr="00631C1B">
        <w:t xml:space="preserve">in aligned </w:t>
      </w:r>
      <w:r w:rsidRPr="00631C1B">
        <w:t>sectors (e.g. policy, health, education).</w:t>
      </w:r>
      <w:r w:rsidR="00A80241" w:rsidRPr="00631C1B">
        <w:t xml:space="preserve"> Hot Chocolate</w:t>
      </w:r>
      <w:r w:rsidR="00FA4029" w:rsidRPr="00631C1B">
        <w:t xml:space="preserve"> </w:t>
      </w:r>
      <w:r w:rsidR="0068658B" w:rsidRPr="00631C1B">
        <w:t xml:space="preserve">reported that their profile through the project has strengthened their links and opportunities with Creative Scotland, which has in turn enabled new partnership links with </w:t>
      </w:r>
      <w:r w:rsidR="003E341F" w:rsidRPr="00631C1B">
        <w:t xml:space="preserve">the </w:t>
      </w:r>
      <w:r w:rsidR="0068658B" w:rsidRPr="00631C1B">
        <w:t>British Council</w:t>
      </w:r>
    </w:p>
    <w:p w14:paraId="5C26A88D" w14:textId="250CE5A4" w:rsidR="008F5EEB" w:rsidRPr="00631C1B" w:rsidRDefault="00970C12" w:rsidP="008F5EEB">
      <w:pPr>
        <w:pStyle w:val="ListBullet"/>
        <w:rPr>
          <w:b/>
        </w:rPr>
      </w:pPr>
      <w:r w:rsidRPr="00631C1B">
        <w:t>A</w:t>
      </w:r>
      <w:r w:rsidR="008F5EEB" w:rsidRPr="00631C1B">
        <w:t>dditional funding enabled</w:t>
      </w:r>
      <w:r w:rsidRPr="00631C1B">
        <w:t xml:space="preserve"> </w:t>
      </w:r>
      <w:r w:rsidR="008F5EEB" w:rsidRPr="00631C1B">
        <w:t xml:space="preserve">organisations to build capacity and create new roles and responsibilities. This enabled them to test new ways of working and models of support (e.g. </w:t>
      </w:r>
      <w:r w:rsidR="0044276B" w:rsidRPr="00631C1B">
        <w:t>one to one</w:t>
      </w:r>
      <w:r w:rsidR="008F5EEB" w:rsidRPr="00631C1B">
        <w:t>s, showcases, podcast creation)</w:t>
      </w:r>
      <w:r w:rsidR="00672AA8" w:rsidRPr="00631C1B">
        <w:t>, some of</w:t>
      </w:r>
      <w:r w:rsidR="008F5EEB" w:rsidRPr="00631C1B">
        <w:t xml:space="preserve"> which have remained beyond the programme</w:t>
      </w:r>
      <w:r w:rsidR="00AC4429" w:rsidRPr="00631C1B">
        <w:t xml:space="preserve"> (e.g. Eden Court)</w:t>
      </w:r>
    </w:p>
    <w:p w14:paraId="580B0B6C" w14:textId="628DE5F5" w:rsidR="00C57F1F" w:rsidRPr="00631C1B" w:rsidRDefault="00A43908" w:rsidP="00D54376">
      <w:pPr>
        <w:pStyle w:val="ListBullet"/>
        <w:rPr>
          <w:b/>
        </w:rPr>
      </w:pPr>
      <w:r w:rsidRPr="00631C1B">
        <w:t xml:space="preserve">The </w:t>
      </w:r>
      <w:r w:rsidR="008A5F20" w:rsidRPr="00631C1B">
        <w:t>monitoring and evaluation (</w:t>
      </w:r>
      <w:r w:rsidR="00E7376B" w:rsidRPr="00631C1B">
        <w:t>M&amp;E</w:t>
      </w:r>
      <w:r w:rsidR="008A5F20" w:rsidRPr="00631C1B">
        <w:t>)</w:t>
      </w:r>
      <w:r w:rsidRPr="00631C1B">
        <w:t xml:space="preserve"> itself pr</w:t>
      </w:r>
      <w:r w:rsidR="00060D4E" w:rsidRPr="00631C1B">
        <w:t>ovided valu</w:t>
      </w:r>
      <w:r w:rsidR="008A4DF4" w:rsidRPr="00631C1B">
        <w:t xml:space="preserve">able </w:t>
      </w:r>
      <w:r w:rsidR="00060D4E" w:rsidRPr="00631C1B">
        <w:t>skills and learning across the organisation</w:t>
      </w:r>
      <w:r w:rsidR="002E4635" w:rsidRPr="00631C1B">
        <w:t>s</w:t>
      </w:r>
      <w:r w:rsidR="00060D4E" w:rsidRPr="00631C1B">
        <w:t>.</w:t>
      </w:r>
      <w:r w:rsidR="000B5FC5" w:rsidRPr="00631C1B">
        <w:t xml:space="preserve"> Organisations that regular</w:t>
      </w:r>
      <w:r w:rsidR="00A135D4" w:rsidRPr="00631C1B">
        <w:t>ly</w:t>
      </w:r>
      <w:r w:rsidR="000B5FC5" w:rsidRPr="00631C1B">
        <w:t xml:space="preserve"> review</w:t>
      </w:r>
      <w:r w:rsidR="00A135D4" w:rsidRPr="00631C1B">
        <w:t>ed</w:t>
      </w:r>
      <w:r w:rsidR="000B5FC5" w:rsidRPr="00631C1B">
        <w:t xml:space="preserve"> and share</w:t>
      </w:r>
      <w:r w:rsidR="00A135D4" w:rsidRPr="00631C1B">
        <w:t>d</w:t>
      </w:r>
      <w:r w:rsidR="000B5FC5" w:rsidRPr="00631C1B">
        <w:t xml:space="preserve"> progress (e.g.</w:t>
      </w:r>
      <w:r w:rsidR="00527AA8" w:rsidRPr="00631C1B">
        <w:t xml:space="preserve"> MCR Pathways</w:t>
      </w:r>
      <w:r w:rsidR="000B5FC5" w:rsidRPr="00631C1B">
        <w:t>)</w:t>
      </w:r>
      <w:r w:rsidR="00060D4E" w:rsidRPr="00631C1B">
        <w:t xml:space="preserve"> </w:t>
      </w:r>
      <w:r w:rsidR="0069417E" w:rsidRPr="00631C1B">
        <w:t xml:space="preserve">found the process </w:t>
      </w:r>
      <w:r w:rsidR="00060D4E" w:rsidRPr="00631C1B">
        <w:t xml:space="preserve">invaluable for </w:t>
      </w:r>
      <w:r w:rsidR="008A4DF4" w:rsidRPr="00631C1B">
        <w:t xml:space="preserve">developing an </w:t>
      </w:r>
      <w:r w:rsidR="00527AA8" w:rsidRPr="00631C1B">
        <w:t>‘</w:t>
      </w:r>
      <w:r w:rsidR="008A4DF4" w:rsidRPr="00631C1B">
        <w:t>evidence-led decision-making culture</w:t>
      </w:r>
      <w:r w:rsidR="00527AA8" w:rsidRPr="00631C1B">
        <w:t>’</w:t>
      </w:r>
      <w:r w:rsidR="008F789B" w:rsidRPr="00631C1B">
        <w:t xml:space="preserve"> going forward</w:t>
      </w:r>
    </w:p>
    <w:p w14:paraId="36C2F90B" w14:textId="36D90716" w:rsidR="00EF1E21" w:rsidRPr="00631C1B" w:rsidRDefault="000D0933" w:rsidP="009A3F2B">
      <w:pPr>
        <w:pStyle w:val="ListBullet"/>
        <w:rPr>
          <w:b/>
        </w:rPr>
      </w:pPr>
      <w:r w:rsidRPr="00631C1B">
        <w:t>Th</w:t>
      </w:r>
      <w:r w:rsidR="00005FB3" w:rsidRPr="00631C1B">
        <w:t xml:space="preserve">ere </w:t>
      </w:r>
      <w:r w:rsidR="00AD1BC7" w:rsidRPr="00631C1B">
        <w:t xml:space="preserve">were </w:t>
      </w:r>
      <w:r w:rsidR="00005FB3" w:rsidRPr="00631C1B">
        <w:t xml:space="preserve">two </w:t>
      </w:r>
      <w:r w:rsidR="00AD1BC7" w:rsidRPr="00631C1B">
        <w:t>overarching</w:t>
      </w:r>
      <w:r w:rsidR="00896756" w:rsidRPr="00631C1B">
        <w:t xml:space="preserve"> challenges underlying these </w:t>
      </w:r>
      <w:r w:rsidR="003851D3" w:rsidRPr="00631C1B">
        <w:t xml:space="preserve">organisational </w:t>
      </w:r>
      <w:r w:rsidR="00896756" w:rsidRPr="00631C1B">
        <w:t>impacts</w:t>
      </w:r>
      <w:r w:rsidR="00005FB3" w:rsidRPr="00631C1B">
        <w:t xml:space="preserve">. First, </w:t>
      </w:r>
      <w:r w:rsidRPr="00631C1B">
        <w:t>e</w:t>
      </w:r>
      <w:r w:rsidR="00D16F18" w:rsidRPr="00631C1B">
        <w:t>nsuring partnerships remain positive and communicative throughout the process, rather than on similar but different paths</w:t>
      </w:r>
      <w:r w:rsidRPr="00631C1B">
        <w:t xml:space="preserve">. </w:t>
      </w:r>
      <w:r w:rsidR="009A39C2" w:rsidRPr="00631C1B">
        <w:t xml:space="preserve">It’s important to have </w:t>
      </w:r>
      <w:r w:rsidR="007C31CC" w:rsidRPr="00631C1B">
        <w:t xml:space="preserve">a </w:t>
      </w:r>
      <w:r w:rsidR="009A39C2" w:rsidRPr="00631C1B">
        <w:t>joined up shared approach</w:t>
      </w:r>
      <w:r w:rsidR="00692FE1" w:rsidRPr="00631C1B">
        <w:t xml:space="preserve">, where all partners can learn and </w:t>
      </w:r>
      <w:r w:rsidR="007C31CC" w:rsidRPr="00631C1B">
        <w:t>maximise their</w:t>
      </w:r>
      <w:r w:rsidR="00692FE1" w:rsidRPr="00631C1B">
        <w:t xml:space="preserve"> capacity for support</w:t>
      </w:r>
      <w:r w:rsidR="009A39C2" w:rsidRPr="00631C1B">
        <w:t xml:space="preserve">. </w:t>
      </w:r>
      <w:r w:rsidR="00005FB3" w:rsidRPr="00631C1B">
        <w:t>Second, e</w:t>
      </w:r>
      <w:r w:rsidR="00D16F18" w:rsidRPr="00631C1B">
        <w:t>nsur</w:t>
      </w:r>
      <w:r w:rsidR="00692FE1" w:rsidRPr="00631C1B">
        <w:t>ing t</w:t>
      </w:r>
      <w:r w:rsidR="00D16F18" w:rsidRPr="00631C1B">
        <w:t>here is institutional learning from</w:t>
      </w:r>
      <w:r w:rsidR="00357A3F" w:rsidRPr="00631C1B">
        <w:t xml:space="preserve"> the</w:t>
      </w:r>
      <w:r w:rsidR="00D16F18" w:rsidRPr="00631C1B">
        <w:t xml:space="preserve"> process, with reflection and training days for </w:t>
      </w:r>
      <w:r w:rsidR="00D16F18" w:rsidRPr="00631C1B">
        <w:t>staff</w:t>
      </w:r>
      <w:r w:rsidR="00005FB3" w:rsidRPr="00631C1B">
        <w:t xml:space="preserve">. Often </w:t>
      </w:r>
      <w:r w:rsidR="00357A3F" w:rsidRPr="00631C1B">
        <w:t xml:space="preserve">important nuance and lessons are </w:t>
      </w:r>
      <w:r w:rsidR="00AD1BC7" w:rsidRPr="00631C1B">
        <w:t xml:space="preserve">lost </w:t>
      </w:r>
      <w:r w:rsidR="00E55F32" w:rsidRPr="00631C1B">
        <w:t xml:space="preserve">if all energy is expended on delivery and structured reflection </w:t>
      </w:r>
      <w:r w:rsidR="00CF70F5">
        <w:t xml:space="preserve">is not </w:t>
      </w:r>
      <w:r w:rsidR="00E55F32" w:rsidRPr="00631C1B">
        <w:t>built in</w:t>
      </w:r>
    </w:p>
    <w:p w14:paraId="29D418AB" w14:textId="5AB3DE37" w:rsidR="002E3AEB" w:rsidRPr="00631C1B" w:rsidRDefault="00692FE1" w:rsidP="00EB1C5B">
      <w:pPr>
        <w:pStyle w:val="ListBullet"/>
        <w:rPr>
          <w:bCs/>
        </w:rPr>
      </w:pPr>
      <w:r w:rsidRPr="00631C1B">
        <w:rPr>
          <w:bCs/>
        </w:rPr>
        <w:t>T</w:t>
      </w:r>
      <w:r w:rsidR="006B6C49" w:rsidRPr="00631C1B">
        <w:rPr>
          <w:bCs/>
        </w:rPr>
        <w:t>here were two overarching mechanisms that success</w:t>
      </w:r>
      <w:r w:rsidR="00357A3F" w:rsidRPr="00631C1B">
        <w:rPr>
          <w:bCs/>
        </w:rPr>
        <w:t>ful</w:t>
      </w:r>
      <w:r w:rsidR="006B6C49" w:rsidRPr="00631C1B">
        <w:rPr>
          <w:bCs/>
        </w:rPr>
        <w:t xml:space="preserve"> projects shared</w:t>
      </w:r>
      <w:r w:rsidR="00322A64" w:rsidRPr="00631C1B">
        <w:rPr>
          <w:bCs/>
        </w:rPr>
        <w:t xml:space="preserve"> in maximising organisational value</w:t>
      </w:r>
      <w:r w:rsidR="006B6C49" w:rsidRPr="00631C1B">
        <w:rPr>
          <w:bCs/>
        </w:rPr>
        <w:t>. First</w:t>
      </w:r>
      <w:r w:rsidR="00F40FF9" w:rsidRPr="00631C1B">
        <w:rPr>
          <w:bCs/>
        </w:rPr>
        <w:t xml:space="preserve">, they </w:t>
      </w:r>
      <w:r w:rsidRPr="00631C1B">
        <w:rPr>
          <w:bCs/>
        </w:rPr>
        <w:t xml:space="preserve">commonly </w:t>
      </w:r>
      <w:r w:rsidR="00F40FF9" w:rsidRPr="00631C1B">
        <w:rPr>
          <w:bCs/>
        </w:rPr>
        <w:t>inst</w:t>
      </w:r>
      <w:r w:rsidR="00357A3F" w:rsidRPr="00631C1B">
        <w:rPr>
          <w:bCs/>
        </w:rPr>
        <w:t>i</w:t>
      </w:r>
      <w:r w:rsidR="00F40FF9" w:rsidRPr="00631C1B">
        <w:rPr>
          <w:bCs/>
        </w:rPr>
        <w:t>ll</w:t>
      </w:r>
      <w:r w:rsidR="00357A3F" w:rsidRPr="00631C1B">
        <w:rPr>
          <w:bCs/>
        </w:rPr>
        <w:t>ed</w:t>
      </w:r>
      <w:r w:rsidR="006B6C49" w:rsidRPr="00631C1B">
        <w:rPr>
          <w:bCs/>
        </w:rPr>
        <w:t xml:space="preserve"> effective communication of impact, internally and externally to unlock further opportunities</w:t>
      </w:r>
      <w:r w:rsidR="007C219D" w:rsidRPr="00631C1B">
        <w:rPr>
          <w:bCs/>
        </w:rPr>
        <w:t xml:space="preserve">. </w:t>
      </w:r>
      <w:r w:rsidR="00224C61" w:rsidRPr="00631C1B">
        <w:rPr>
          <w:bCs/>
        </w:rPr>
        <w:t>Second, they c</w:t>
      </w:r>
      <w:r w:rsidR="006B6C49" w:rsidRPr="00631C1B">
        <w:rPr>
          <w:bCs/>
        </w:rPr>
        <w:t>ontinually ma</w:t>
      </w:r>
      <w:r w:rsidR="00224C61" w:rsidRPr="00631C1B">
        <w:rPr>
          <w:bCs/>
        </w:rPr>
        <w:t>de</w:t>
      </w:r>
      <w:r w:rsidR="006B6C49" w:rsidRPr="00631C1B">
        <w:rPr>
          <w:bCs/>
        </w:rPr>
        <w:t xml:space="preserve"> the case for </w:t>
      </w:r>
      <w:r w:rsidR="00D76E2C" w:rsidRPr="00631C1B">
        <w:rPr>
          <w:bCs/>
        </w:rPr>
        <w:t xml:space="preserve">the </w:t>
      </w:r>
      <w:r w:rsidR="006B6C49" w:rsidRPr="00631C1B">
        <w:rPr>
          <w:bCs/>
        </w:rPr>
        <w:t>evaluation, as part of delivery, rather than an add-on. This help</w:t>
      </w:r>
      <w:r w:rsidR="00D76E2C" w:rsidRPr="00631C1B">
        <w:rPr>
          <w:bCs/>
        </w:rPr>
        <w:t>ed</w:t>
      </w:r>
      <w:r w:rsidR="006B6C49" w:rsidRPr="00631C1B">
        <w:rPr>
          <w:bCs/>
        </w:rPr>
        <w:t xml:space="preserve"> creat</w:t>
      </w:r>
      <w:r w:rsidR="00D76E2C" w:rsidRPr="00631C1B">
        <w:rPr>
          <w:bCs/>
        </w:rPr>
        <w:t>e</w:t>
      </w:r>
      <w:r w:rsidR="006B6C49" w:rsidRPr="00631C1B">
        <w:rPr>
          <w:bCs/>
        </w:rPr>
        <w:t xml:space="preserve"> a reflective and iterative process of delivery improvement</w:t>
      </w:r>
      <w:r w:rsidR="007C219D" w:rsidRPr="00631C1B">
        <w:rPr>
          <w:bCs/>
        </w:rPr>
        <w:t xml:space="preserve">, as well as having insightful data for </w:t>
      </w:r>
      <w:r w:rsidR="00937DE8" w:rsidRPr="00631C1B">
        <w:rPr>
          <w:bCs/>
        </w:rPr>
        <w:t>where impacts are being made.</w:t>
      </w:r>
    </w:p>
    <w:p w14:paraId="0673914D" w14:textId="28A50F6E" w:rsidR="002E3AEB" w:rsidRPr="00631C1B" w:rsidRDefault="002E3AEB" w:rsidP="002E3AEB">
      <w:pPr>
        <w:pStyle w:val="Quotesmall"/>
      </w:pPr>
      <w:r w:rsidRPr="00631C1B">
        <w:rPr>
          <w:noProof/>
          <w:lang w:eastAsia="en-GB"/>
        </w:rPr>
        <w:drawing>
          <wp:inline distT="0" distB="0" distL="0" distR="0" wp14:anchorId="1B0F5A1E" wp14:editId="3700E6AE">
            <wp:extent cx="197640" cy="1569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 xml:space="preserve">There is no doubt from us or our partners that the </w:t>
      </w:r>
      <w:proofErr w:type="spellStart"/>
      <w:r w:rsidR="00281FAF" w:rsidRPr="00631C1B">
        <w:t>CashBack</w:t>
      </w:r>
      <w:proofErr w:type="spellEnd"/>
      <w:r w:rsidRPr="00631C1B">
        <w:t xml:space="preserve"> for Creativity fund has allowed us to work on multiple long-term projects that have been of great benefit and allowed us to try varied models of participation and delivery.</w:t>
      </w:r>
    </w:p>
    <w:p w14:paraId="1A99D865" w14:textId="77777777" w:rsidR="002E3AEB" w:rsidRPr="00631C1B" w:rsidRDefault="002E3AEB" w:rsidP="00EB1C5B">
      <w:pPr>
        <w:pStyle w:val="Quotesmall"/>
        <w:numPr>
          <w:ilvl w:val="0"/>
          <w:numId w:val="5"/>
        </w:numPr>
        <w:jc w:val="right"/>
      </w:pPr>
      <w:r w:rsidRPr="00631C1B">
        <w:t>Eden Court</w:t>
      </w:r>
    </w:p>
    <w:p w14:paraId="421581A4" w14:textId="2073E68F" w:rsidR="004C74AC" w:rsidRPr="00631C1B" w:rsidRDefault="004C74AC" w:rsidP="00D54376">
      <w:pPr>
        <w:pStyle w:val="ListBullet"/>
        <w:numPr>
          <w:ilvl w:val="0"/>
          <w:numId w:val="0"/>
        </w:numPr>
        <w:rPr>
          <w:b/>
        </w:rPr>
      </w:pPr>
      <w:r w:rsidRPr="00631C1B">
        <w:rPr>
          <w:b/>
        </w:rPr>
        <w:t>Open Fund</w:t>
      </w:r>
    </w:p>
    <w:p w14:paraId="63C32198" w14:textId="58E02FA3" w:rsidR="005B3BC0" w:rsidRPr="00631C1B" w:rsidRDefault="0038432F" w:rsidP="005B3BC0">
      <w:pPr>
        <w:pStyle w:val="ListBullet"/>
      </w:pPr>
      <w:r w:rsidRPr="00631C1B">
        <w:t>Despite only</w:t>
      </w:r>
      <w:r w:rsidR="00937DE8" w:rsidRPr="00631C1B">
        <w:t xml:space="preserve"> being</w:t>
      </w:r>
      <w:r w:rsidRPr="00631C1B">
        <w:t xml:space="preserve"> funded for </w:t>
      </w:r>
      <w:r w:rsidR="00AF518C" w:rsidRPr="00631C1B">
        <w:t>one-year</w:t>
      </w:r>
      <w:r w:rsidRPr="00631C1B">
        <w:t xml:space="preserve">, </w:t>
      </w:r>
      <w:r w:rsidR="002150FB" w:rsidRPr="00631C1B">
        <w:t>Open Fund organisations were able to b</w:t>
      </w:r>
      <w:r w:rsidR="00044CEB" w:rsidRPr="00631C1B">
        <w:t>uil</w:t>
      </w:r>
      <w:r w:rsidR="00024F3E" w:rsidRPr="00631C1B">
        <w:t>d</w:t>
      </w:r>
      <w:r w:rsidR="00044CEB" w:rsidRPr="00631C1B">
        <w:t xml:space="preserve"> the</w:t>
      </w:r>
      <w:r w:rsidR="002150FB" w:rsidRPr="00631C1B">
        <w:t>ir</w:t>
      </w:r>
      <w:r w:rsidR="00044CEB" w:rsidRPr="00631C1B">
        <w:t xml:space="preserve"> capacity and profile</w:t>
      </w:r>
      <w:r w:rsidR="002150FB" w:rsidRPr="00631C1B">
        <w:t>,</w:t>
      </w:r>
      <w:r w:rsidR="00937DE8" w:rsidRPr="00631C1B">
        <w:t xml:space="preserve"> typically </w:t>
      </w:r>
      <w:r w:rsidR="00044CEB" w:rsidRPr="00631C1B">
        <w:t xml:space="preserve">through new and stronger partnerships. </w:t>
      </w:r>
      <w:proofErr w:type="spellStart"/>
      <w:r w:rsidR="00044CEB" w:rsidRPr="00631C1B">
        <w:t>Lyth</w:t>
      </w:r>
      <w:proofErr w:type="spellEnd"/>
      <w:r w:rsidR="00044CEB" w:rsidRPr="00631C1B">
        <w:t xml:space="preserve"> Arts Centre, for the first time in their 40</w:t>
      </w:r>
      <w:r w:rsidR="008E189B" w:rsidRPr="00631C1B">
        <w:t>-</w:t>
      </w:r>
      <w:r w:rsidR="00044CEB" w:rsidRPr="00631C1B">
        <w:t>year history</w:t>
      </w:r>
      <w:r w:rsidR="00C0339D" w:rsidRPr="00631C1B">
        <w:t>,</w:t>
      </w:r>
      <w:r w:rsidR="00044CEB" w:rsidRPr="00631C1B">
        <w:t xml:space="preserve"> were able to offer a dedicated young people’s programme.</w:t>
      </w:r>
      <w:r w:rsidR="00921621" w:rsidRPr="00631C1B">
        <w:t xml:space="preserve"> This enabled them to </w:t>
      </w:r>
      <w:r w:rsidR="00C0339D" w:rsidRPr="00631C1B">
        <w:t xml:space="preserve">really focus on </w:t>
      </w:r>
      <w:r w:rsidR="00921621" w:rsidRPr="00631C1B">
        <w:t>work</w:t>
      </w:r>
      <w:r w:rsidR="00C0339D" w:rsidRPr="00631C1B">
        <w:t>ing</w:t>
      </w:r>
      <w:r w:rsidR="00921621" w:rsidRPr="00631C1B">
        <w:t xml:space="preserve"> with other s</w:t>
      </w:r>
      <w:r w:rsidR="00C0339D" w:rsidRPr="00631C1B">
        <w:t xml:space="preserve">pecialist </w:t>
      </w:r>
      <w:r w:rsidR="00CF70F5" w:rsidRPr="00631C1B">
        <w:t>socially focused</w:t>
      </w:r>
      <w:r w:rsidR="00B92E08" w:rsidRPr="00631C1B">
        <w:t xml:space="preserve"> organisations </w:t>
      </w:r>
      <w:r w:rsidR="00024F3E" w:rsidRPr="00631C1B">
        <w:t>in the community</w:t>
      </w:r>
      <w:r w:rsidR="00CE4A8E" w:rsidRPr="00631C1B">
        <w:t xml:space="preserve"> in effective, joined up targeted support. Some of these partnerships have </w:t>
      </w:r>
      <w:r w:rsidR="00B2164A" w:rsidRPr="00631C1B">
        <w:t>continued beyond the funding</w:t>
      </w:r>
      <w:r w:rsidR="00C15F28" w:rsidRPr="00631C1B">
        <w:t xml:space="preserve"> period</w:t>
      </w:r>
    </w:p>
    <w:p w14:paraId="2F0D73A0" w14:textId="2E2459F5" w:rsidR="009D7D2B" w:rsidRPr="00631C1B" w:rsidRDefault="00B2164A" w:rsidP="005B3BC0">
      <w:pPr>
        <w:pStyle w:val="ListBullet"/>
      </w:pPr>
      <w:r w:rsidRPr="00631C1B">
        <w:t>Organisations l</w:t>
      </w:r>
      <w:r w:rsidR="00024F3E" w:rsidRPr="00631C1B">
        <w:t>earn</w:t>
      </w:r>
      <w:r w:rsidR="003A0B5B" w:rsidRPr="00631C1B">
        <w:t xml:space="preserve">ed </w:t>
      </w:r>
      <w:r w:rsidR="00024F3E" w:rsidRPr="00631C1B">
        <w:t>t</w:t>
      </w:r>
      <w:r w:rsidR="0095272E" w:rsidRPr="00631C1B">
        <w:t xml:space="preserve">he </w:t>
      </w:r>
      <w:r w:rsidR="003A0B5B" w:rsidRPr="00631C1B">
        <w:t xml:space="preserve">importance </w:t>
      </w:r>
      <w:r w:rsidR="00CF70F5" w:rsidRPr="00631C1B">
        <w:t>of making</w:t>
      </w:r>
      <w:r w:rsidR="00055062" w:rsidRPr="00631C1B">
        <w:t xml:space="preserve"> learning applicable</w:t>
      </w:r>
      <w:r w:rsidR="009D7D2B" w:rsidRPr="00631C1B">
        <w:t xml:space="preserve"> to real </w:t>
      </w:r>
      <w:r w:rsidR="003A0B5B" w:rsidRPr="00631C1B">
        <w:t xml:space="preserve">life </w:t>
      </w:r>
      <w:r w:rsidR="009D7D2B" w:rsidRPr="00631C1B">
        <w:t>situations</w:t>
      </w:r>
      <w:r w:rsidR="003A0B5B" w:rsidRPr="00631C1B">
        <w:t xml:space="preserve">, rather than speaking in </w:t>
      </w:r>
      <w:r w:rsidR="00756E54" w:rsidRPr="00631C1B">
        <w:t>general</w:t>
      </w:r>
      <w:r w:rsidR="006F57A7" w:rsidRPr="00631C1B">
        <w:t xml:space="preserve"> or</w:t>
      </w:r>
      <w:r w:rsidR="00756E54" w:rsidRPr="00631C1B">
        <w:t xml:space="preserve"> abstract ways</w:t>
      </w:r>
      <w:r w:rsidR="009D7D2B" w:rsidRPr="00631C1B">
        <w:t xml:space="preserve">. </w:t>
      </w:r>
      <w:r w:rsidR="0095272E" w:rsidRPr="00631C1B">
        <w:t>M-Tech Paisley found this</w:t>
      </w:r>
      <w:r w:rsidR="00756E54" w:rsidRPr="00631C1B">
        <w:t xml:space="preserve"> grounded vocabulary and curriculum</w:t>
      </w:r>
      <w:r w:rsidR="0095272E" w:rsidRPr="00631C1B">
        <w:t xml:space="preserve"> </w:t>
      </w:r>
      <w:r w:rsidR="006F57A7" w:rsidRPr="00631C1B">
        <w:t>help</w:t>
      </w:r>
      <w:r w:rsidR="00C15F28" w:rsidRPr="00631C1B">
        <w:t>ed</w:t>
      </w:r>
      <w:r w:rsidR="006F57A7" w:rsidRPr="00631C1B">
        <w:t xml:space="preserve"> engage </w:t>
      </w:r>
      <w:r w:rsidR="009D7D2B" w:rsidRPr="00631C1B">
        <w:t xml:space="preserve">young </w:t>
      </w:r>
      <w:r w:rsidR="00C15F28" w:rsidRPr="00631C1B">
        <w:t xml:space="preserve">people </w:t>
      </w:r>
      <w:r w:rsidR="000A12C4" w:rsidRPr="00631C1B">
        <w:t>on a relatable level. From this peer</w:t>
      </w:r>
      <w:r w:rsidR="00C15F28" w:rsidRPr="00631C1B">
        <w:t>-focused</w:t>
      </w:r>
      <w:r w:rsidR="000A12C4" w:rsidRPr="00631C1B">
        <w:t xml:space="preserve"> approach, </w:t>
      </w:r>
      <w:r w:rsidR="00C15F28" w:rsidRPr="00631C1B">
        <w:t xml:space="preserve">it was considered </w:t>
      </w:r>
      <w:r w:rsidR="000A12C4" w:rsidRPr="00631C1B">
        <w:t xml:space="preserve">easier to build </w:t>
      </w:r>
      <w:r w:rsidR="00C15F28" w:rsidRPr="00631C1B">
        <w:t>participants’ ‘</w:t>
      </w:r>
      <w:r w:rsidR="009D7D2B" w:rsidRPr="00631C1B">
        <w:t>soft skills</w:t>
      </w:r>
      <w:r w:rsidR="00C15F28" w:rsidRPr="00631C1B">
        <w:t>’</w:t>
      </w:r>
      <w:r w:rsidR="00756E54" w:rsidRPr="00631C1B">
        <w:t xml:space="preserve"> (e.g.</w:t>
      </w:r>
      <w:r w:rsidR="000A12C4" w:rsidRPr="00631C1B">
        <w:t xml:space="preserve"> confidence, communication)</w:t>
      </w:r>
      <w:r w:rsidR="00CD6B1E" w:rsidRPr="00631C1B">
        <w:t>,</w:t>
      </w:r>
      <w:r w:rsidR="003E17BF" w:rsidRPr="00631C1B">
        <w:t xml:space="preserve"> which in turn</w:t>
      </w:r>
      <w:r w:rsidR="00CD6B1E" w:rsidRPr="00631C1B">
        <w:t xml:space="preserve"> aid</w:t>
      </w:r>
      <w:r w:rsidR="003E17BF" w:rsidRPr="00631C1B">
        <w:t>s</w:t>
      </w:r>
      <w:r w:rsidR="00CD6B1E" w:rsidRPr="00631C1B">
        <w:t xml:space="preserve"> the</w:t>
      </w:r>
      <w:r w:rsidR="009D7D2B" w:rsidRPr="00631C1B">
        <w:t xml:space="preserve"> transition</w:t>
      </w:r>
      <w:r w:rsidR="00CD6B1E" w:rsidRPr="00631C1B">
        <w:t xml:space="preserve"> from</w:t>
      </w:r>
      <w:r w:rsidR="009D7D2B" w:rsidRPr="00631C1B">
        <w:t xml:space="preserve"> an idea in their mind </w:t>
      </w:r>
      <w:r w:rsidR="00CD6B1E" w:rsidRPr="00631C1B">
        <w:t xml:space="preserve">to </w:t>
      </w:r>
      <w:r w:rsidR="004A0634" w:rsidRPr="00631C1B">
        <w:t>‘</w:t>
      </w:r>
      <w:r w:rsidR="009D7D2B" w:rsidRPr="00631C1B">
        <w:t>something tangible</w:t>
      </w:r>
      <w:r w:rsidR="00CD6B1E" w:rsidRPr="00631C1B">
        <w:t xml:space="preserve"> and achievable</w:t>
      </w:r>
      <w:r w:rsidR="004A0634" w:rsidRPr="00631C1B">
        <w:t>’</w:t>
      </w:r>
    </w:p>
    <w:p w14:paraId="4FECA8D9" w14:textId="668AC2AD" w:rsidR="005B3BC0" w:rsidRPr="00631C1B" w:rsidRDefault="004A0634" w:rsidP="005B3BC0">
      <w:pPr>
        <w:pStyle w:val="ListBullet"/>
      </w:pPr>
      <w:r w:rsidRPr="00631C1B">
        <w:lastRenderedPageBreak/>
        <w:t>The programme p</w:t>
      </w:r>
      <w:r w:rsidR="00AB4880" w:rsidRPr="00631C1B">
        <w:t>rovid</w:t>
      </w:r>
      <w:r w:rsidRPr="00631C1B">
        <w:t>ed</w:t>
      </w:r>
      <w:r w:rsidR="00AB4880" w:rsidRPr="00631C1B">
        <w:t xml:space="preserve"> valuable insights into the </w:t>
      </w:r>
      <w:r w:rsidRPr="00631C1B">
        <w:t xml:space="preserve">specific </w:t>
      </w:r>
      <w:r w:rsidR="00AB4880" w:rsidRPr="00631C1B">
        <w:t>skill</w:t>
      </w:r>
      <w:r w:rsidR="00647A76" w:rsidRPr="00631C1B">
        <w:t>-</w:t>
      </w:r>
      <w:r w:rsidR="00AB4880" w:rsidRPr="00631C1B">
        <w:t xml:space="preserve">sets tutors need </w:t>
      </w:r>
      <w:r w:rsidR="007F25D4" w:rsidRPr="00631C1B">
        <w:t>in order to</w:t>
      </w:r>
      <w:r w:rsidR="00AB4880" w:rsidRPr="00631C1B">
        <w:t xml:space="preserve"> </w:t>
      </w:r>
      <w:r w:rsidR="0066579B" w:rsidRPr="00631C1B">
        <w:t xml:space="preserve">provide high quality support. The </w:t>
      </w:r>
      <w:r w:rsidR="005B3BC0" w:rsidRPr="00631C1B">
        <w:t>D&amp;G Innovation Project</w:t>
      </w:r>
      <w:r w:rsidR="0066579B" w:rsidRPr="00631C1B">
        <w:t xml:space="preserve"> specificall</w:t>
      </w:r>
      <w:r w:rsidR="00951B60" w:rsidRPr="00631C1B">
        <w:t xml:space="preserve">y </w:t>
      </w:r>
      <w:r w:rsidR="007F25D4" w:rsidRPr="00631C1B">
        <w:t xml:space="preserve">highlighted the wealth of technical skills, but also strong </w:t>
      </w:r>
      <w:r w:rsidR="008E189B" w:rsidRPr="00631C1B">
        <w:t>interpersonal</w:t>
      </w:r>
      <w:r w:rsidR="00DB6B6D" w:rsidRPr="00631C1B">
        <w:t xml:space="preserve"> skills (e.g. communication, teamwork, </w:t>
      </w:r>
      <w:r w:rsidRPr="00631C1B">
        <w:t>active</w:t>
      </w:r>
      <w:r w:rsidR="00647A76" w:rsidRPr="00631C1B">
        <w:t xml:space="preserve"> </w:t>
      </w:r>
      <w:r w:rsidR="00DB6B6D" w:rsidRPr="00631C1B">
        <w:t>listening</w:t>
      </w:r>
      <w:r w:rsidR="008E189B" w:rsidRPr="00631C1B">
        <w:t>)</w:t>
      </w:r>
      <w:r w:rsidRPr="00631C1B">
        <w:t xml:space="preserve"> required to be responsive and engaging with </w:t>
      </w:r>
      <w:r w:rsidR="00E1482B" w:rsidRPr="00631C1B">
        <w:t>young people from a wide range of backgrounds</w:t>
      </w:r>
    </w:p>
    <w:p w14:paraId="780C323C" w14:textId="201E608C" w:rsidR="009E2D7B" w:rsidRPr="00631C1B" w:rsidRDefault="00114F83" w:rsidP="009A3F2B">
      <w:pPr>
        <w:pStyle w:val="ListBullet"/>
      </w:pPr>
      <w:r w:rsidRPr="00631C1B">
        <w:t>Some o</w:t>
      </w:r>
      <w:r w:rsidR="00E1482B" w:rsidRPr="00631C1B">
        <w:t>rganisations were able to t</w:t>
      </w:r>
      <w:r w:rsidR="00E61B4C" w:rsidRPr="00631C1B">
        <w:t>est a ‘co-design’ approach for the first time</w:t>
      </w:r>
      <w:r w:rsidR="00DB50BE" w:rsidRPr="00631C1B">
        <w:t xml:space="preserve">, consulting participants directly in what </w:t>
      </w:r>
      <w:r w:rsidR="00BD3449" w:rsidRPr="00631C1B">
        <w:t>type of support would work best for them</w:t>
      </w:r>
      <w:r w:rsidR="00011762" w:rsidRPr="00631C1B">
        <w:t xml:space="preserve">. </w:t>
      </w:r>
      <w:r w:rsidR="00415E50" w:rsidRPr="00631C1B">
        <w:t xml:space="preserve">Both </w:t>
      </w:r>
      <w:proofErr w:type="spellStart"/>
      <w:r w:rsidR="00680673" w:rsidRPr="00631C1B">
        <w:t>Lyth</w:t>
      </w:r>
      <w:proofErr w:type="spellEnd"/>
      <w:r w:rsidR="00680673" w:rsidRPr="00631C1B">
        <w:t xml:space="preserve"> Arts Centre Young Company </w:t>
      </w:r>
      <w:r w:rsidR="00415E50" w:rsidRPr="00631C1B">
        <w:t xml:space="preserve">and Listen Lanarkshire </w:t>
      </w:r>
      <w:r w:rsidR="005B3BC0" w:rsidRPr="00631C1B">
        <w:t>evolved their practice</w:t>
      </w:r>
      <w:r w:rsidR="00415E50" w:rsidRPr="00631C1B">
        <w:t>s</w:t>
      </w:r>
      <w:r w:rsidR="007E1390" w:rsidRPr="00631C1B">
        <w:t xml:space="preserve"> to </w:t>
      </w:r>
      <w:r w:rsidR="00FF5E4D" w:rsidRPr="00631C1B">
        <w:t>be more consultative</w:t>
      </w:r>
      <w:r w:rsidR="00BC7893" w:rsidRPr="00631C1B">
        <w:t>,</w:t>
      </w:r>
      <w:r w:rsidR="001112A0" w:rsidRPr="00631C1B">
        <w:t xml:space="preserve"> which was found to </w:t>
      </w:r>
      <w:r w:rsidR="005B3BC0" w:rsidRPr="00631C1B">
        <w:t>empower the participants and produce</w:t>
      </w:r>
      <w:r w:rsidRPr="00631C1B">
        <w:t xml:space="preserve"> an improved offer</w:t>
      </w:r>
      <w:r w:rsidR="00C33693" w:rsidRPr="00631C1B">
        <w:t>.</w:t>
      </w:r>
      <w:r w:rsidR="005B3BC0" w:rsidRPr="00631C1B">
        <w:t xml:space="preserve"> </w:t>
      </w:r>
    </w:p>
    <w:p w14:paraId="06F01C8A" w14:textId="6AC3A161" w:rsidR="009E2D7B" w:rsidRPr="00631C1B" w:rsidRDefault="009E2D7B" w:rsidP="009A3F2B">
      <w:pPr>
        <w:pStyle w:val="Quotesmall"/>
      </w:pPr>
      <w:r w:rsidRPr="00631C1B">
        <w:tab/>
      </w:r>
      <w:r w:rsidRPr="00631C1B">
        <w:rPr>
          <w:noProof/>
          <w:lang w:eastAsia="en-GB"/>
        </w:rPr>
        <w:drawing>
          <wp:inline distT="0" distB="0" distL="0" distR="0" wp14:anchorId="44838D9C" wp14:editId="05DC6B59">
            <wp:extent cx="197640" cy="1569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r>
      <w:r w:rsidR="00407F22" w:rsidRPr="00631C1B">
        <w:t>For the first time we used a co-design process which allowed us to empower the participants and produce a flexible and responsive project.</w:t>
      </w:r>
    </w:p>
    <w:p w14:paraId="6E12E71E" w14:textId="563F291E" w:rsidR="00407F22" w:rsidRPr="00631C1B" w:rsidRDefault="00407F22" w:rsidP="00EB1C5B">
      <w:pPr>
        <w:pStyle w:val="Quotesmall"/>
        <w:numPr>
          <w:ilvl w:val="0"/>
          <w:numId w:val="6"/>
        </w:numPr>
        <w:jc w:val="right"/>
      </w:pPr>
      <w:proofErr w:type="spellStart"/>
      <w:r w:rsidRPr="00631C1B">
        <w:t>Lyth</w:t>
      </w:r>
      <w:proofErr w:type="spellEnd"/>
      <w:r w:rsidRPr="00631C1B">
        <w:t xml:space="preserve"> Arts Centre Young Company</w:t>
      </w:r>
    </w:p>
    <w:p w14:paraId="3B1636F7" w14:textId="443B2A81" w:rsidR="00BE1BA3" w:rsidRPr="00631C1B" w:rsidRDefault="00BE1BA3" w:rsidP="00BE1BA3">
      <w:pPr>
        <w:pStyle w:val="Subheadingnonumber"/>
      </w:pPr>
      <w:r w:rsidRPr="00631C1B">
        <w:t>Key findings for Targeted Fund across all years</w:t>
      </w:r>
    </w:p>
    <w:p w14:paraId="5655A7AB" w14:textId="77777777" w:rsidR="00AB4E64" w:rsidRPr="00631C1B" w:rsidRDefault="00AB4E64" w:rsidP="00AB4E64">
      <w:pPr>
        <w:pStyle w:val="BodyText"/>
      </w:pPr>
      <w:r w:rsidRPr="00631C1B">
        <w:t>End of Project reports outlined many of the same key organisational impacts and learning highlighted in Year 3 annual reports. In addition, Targeted Fund organisations reported:</w:t>
      </w:r>
    </w:p>
    <w:p w14:paraId="60C209B2" w14:textId="745B4FD2" w:rsidR="0045511F" w:rsidRPr="00631C1B" w:rsidRDefault="0045511F" w:rsidP="00CA0F3A">
      <w:pPr>
        <w:pStyle w:val="ListBullet"/>
      </w:pPr>
      <w:r w:rsidRPr="00631C1B">
        <w:t>Stronger links and strate</w:t>
      </w:r>
      <w:r w:rsidR="0005357F" w:rsidRPr="00631C1B">
        <w:t xml:space="preserve">gic thinking </w:t>
      </w:r>
      <w:r w:rsidRPr="00631C1B">
        <w:t>internally</w:t>
      </w:r>
      <w:r w:rsidR="00EA2D42" w:rsidRPr="00631C1B">
        <w:t xml:space="preserve"> by the </w:t>
      </w:r>
      <w:r w:rsidR="00FF5E4D" w:rsidRPr="00631C1B">
        <w:t xml:space="preserve">end of the </w:t>
      </w:r>
      <w:r w:rsidR="00EA2D42" w:rsidRPr="00631C1B">
        <w:t>three years</w:t>
      </w:r>
      <w:r w:rsidR="002361E8" w:rsidRPr="00631C1B">
        <w:t>. This was</w:t>
      </w:r>
      <w:r w:rsidRPr="00631C1B">
        <w:t xml:space="preserve"> </w:t>
      </w:r>
      <w:r w:rsidR="002361E8" w:rsidRPr="00631C1B">
        <w:t xml:space="preserve">achieved through more formalised and regular internal communications, as well as </w:t>
      </w:r>
      <w:r w:rsidRPr="00631C1B">
        <w:t>bringing together various programm</w:t>
      </w:r>
      <w:r w:rsidR="00C17083" w:rsidRPr="00631C1B">
        <w:t>e</w:t>
      </w:r>
      <w:r w:rsidRPr="00631C1B">
        <w:t xml:space="preserve"> strands</w:t>
      </w:r>
      <w:r w:rsidR="00EA2D42" w:rsidRPr="00631C1B">
        <w:t xml:space="preserve"> and tutors</w:t>
      </w:r>
      <w:r w:rsidR="005918FF" w:rsidRPr="00631C1B">
        <w:t>,</w:t>
      </w:r>
      <w:r w:rsidR="00EA2D42" w:rsidRPr="00631C1B">
        <w:t xml:space="preserve"> who typically would have worked separately</w:t>
      </w:r>
    </w:p>
    <w:p w14:paraId="51BB0C56" w14:textId="0BE56A12" w:rsidR="00BE1BA3" w:rsidRPr="00631C1B" w:rsidRDefault="00F52AEA" w:rsidP="00F52AEA">
      <w:pPr>
        <w:pStyle w:val="ListBullet"/>
      </w:pPr>
      <w:r w:rsidRPr="00631C1B">
        <w:t>Unlock</w:t>
      </w:r>
      <w:r w:rsidR="005918FF" w:rsidRPr="00631C1B">
        <w:t>ing</w:t>
      </w:r>
      <w:r w:rsidR="00562106" w:rsidRPr="00631C1B">
        <w:t xml:space="preserve"> future </w:t>
      </w:r>
      <w:r w:rsidRPr="00631C1B">
        <w:t>funding</w:t>
      </w:r>
      <w:r w:rsidR="00562106" w:rsidRPr="00631C1B">
        <w:t xml:space="preserve"> for after the programme.</w:t>
      </w:r>
      <w:r w:rsidRPr="00631C1B">
        <w:t xml:space="preserve"> </w:t>
      </w:r>
      <w:r w:rsidR="00EC5D63" w:rsidRPr="00631C1B">
        <w:t xml:space="preserve">Being able to communicate their impact effectively, as well as demonstrating </w:t>
      </w:r>
      <w:r w:rsidR="00F47771" w:rsidRPr="00631C1B">
        <w:t>the adoption of key lessons from Phase 4,</w:t>
      </w:r>
      <w:r w:rsidR="00EC5D63" w:rsidRPr="00631C1B">
        <w:t xml:space="preserve"> </w:t>
      </w:r>
      <w:r w:rsidR="00562106" w:rsidRPr="00631C1B">
        <w:t xml:space="preserve">Eden Court and </w:t>
      </w:r>
      <w:proofErr w:type="spellStart"/>
      <w:r w:rsidR="00562106" w:rsidRPr="00631C1B">
        <w:t>YDance</w:t>
      </w:r>
      <w:proofErr w:type="spellEnd"/>
      <w:r w:rsidR="00562106" w:rsidRPr="00631C1B">
        <w:t xml:space="preserve"> were </w:t>
      </w:r>
      <w:r w:rsidRPr="00631C1B">
        <w:t xml:space="preserve">successful in </w:t>
      </w:r>
      <w:r w:rsidR="00562106" w:rsidRPr="00631C1B">
        <w:t>their funding application f</w:t>
      </w:r>
      <w:r w:rsidRPr="00631C1B">
        <w:t>or</w:t>
      </w:r>
      <w:r w:rsidR="00F430F8" w:rsidRPr="00631C1B">
        <w:t xml:space="preserve"> </w:t>
      </w:r>
      <w:r w:rsidR="00CF70F5">
        <w:t>Cashback for Communities Phase 5.</w:t>
      </w:r>
    </w:p>
    <w:p w14:paraId="6A8D5820" w14:textId="72940925" w:rsidR="00F93819" w:rsidRPr="00631C1B" w:rsidRDefault="00F93819" w:rsidP="00D93644">
      <w:pPr>
        <w:pStyle w:val="ListBullet"/>
      </w:pPr>
      <w:r w:rsidRPr="00631C1B">
        <w:t>Development of new services for young people which will be sustained beyond the life of this project (</w:t>
      </w:r>
      <w:r w:rsidR="003B15B9" w:rsidRPr="00631C1B">
        <w:t>e.g. Findhorn</w:t>
      </w:r>
      <w:r w:rsidR="00CB66B5" w:rsidRPr="00631C1B">
        <w:t xml:space="preserve"> Bay Arts</w:t>
      </w:r>
      <w:r w:rsidR="003B15B9" w:rsidRPr="00631C1B">
        <w:t xml:space="preserve"> have since </w:t>
      </w:r>
      <w:r w:rsidRPr="00631C1B">
        <w:t>applied to the Youth Music Initiative fund for a year-long youth music project)</w:t>
      </w:r>
    </w:p>
    <w:p w14:paraId="31955981" w14:textId="27744AE2" w:rsidR="00D93644" w:rsidRPr="00631C1B" w:rsidRDefault="00251AE5" w:rsidP="00D93644">
      <w:pPr>
        <w:pStyle w:val="ListBullet"/>
      </w:pPr>
      <w:r w:rsidRPr="00631C1B">
        <w:t>Organisations learnt the need to have r</w:t>
      </w:r>
      <w:r w:rsidR="00D93644" w:rsidRPr="00631C1B">
        <w:t>eserve</w:t>
      </w:r>
      <w:r w:rsidR="002F3A6B" w:rsidRPr="00631C1B">
        <w:t xml:space="preserve">s and </w:t>
      </w:r>
      <w:r w:rsidRPr="00631C1B">
        <w:t xml:space="preserve">contingency </w:t>
      </w:r>
      <w:r w:rsidR="00D93644" w:rsidRPr="00631C1B">
        <w:t>funds</w:t>
      </w:r>
      <w:r w:rsidRPr="00631C1B">
        <w:t>.</w:t>
      </w:r>
      <w:r w:rsidR="002F3A6B" w:rsidRPr="00631C1B">
        <w:t xml:space="preserve"> It was not uncommon for organisations </w:t>
      </w:r>
      <w:r w:rsidR="00AE7391" w:rsidRPr="00631C1B">
        <w:t>pay</w:t>
      </w:r>
      <w:r w:rsidR="00544FDF" w:rsidRPr="00631C1B">
        <w:t>ing</w:t>
      </w:r>
      <w:r w:rsidR="00AE7391" w:rsidRPr="00631C1B">
        <w:t xml:space="preserve"> for a</w:t>
      </w:r>
      <w:r w:rsidR="00D93644" w:rsidRPr="00631C1B">
        <w:t>dditional training</w:t>
      </w:r>
      <w:r w:rsidR="009B381F" w:rsidRPr="00631C1B">
        <w:t xml:space="preserve"> and </w:t>
      </w:r>
      <w:r w:rsidR="00AE7391" w:rsidRPr="00631C1B">
        <w:t>other unforeseen costs</w:t>
      </w:r>
      <w:r w:rsidR="00544FDF" w:rsidRPr="00631C1B">
        <w:t xml:space="preserve"> from their own budgets</w:t>
      </w:r>
      <w:r w:rsidR="008F51AC" w:rsidRPr="00631C1B">
        <w:t>,</w:t>
      </w:r>
      <w:r w:rsidR="00724A63" w:rsidRPr="00631C1B">
        <w:t xml:space="preserve"> as projects changed </w:t>
      </w:r>
      <w:proofErr w:type="gramStart"/>
      <w:r w:rsidR="00724A63" w:rsidRPr="00631C1B">
        <w:t>during the course of</w:t>
      </w:r>
      <w:proofErr w:type="gramEnd"/>
      <w:r w:rsidR="00724A63" w:rsidRPr="00631C1B">
        <w:t xml:space="preserve"> the programme. Such flexible ‘draw-down’ funds would be welcomed in any future similar programmes</w:t>
      </w:r>
    </w:p>
    <w:p w14:paraId="0AECC13E" w14:textId="523F04E1" w:rsidR="003A311F" w:rsidRPr="00631C1B" w:rsidRDefault="00AE7391" w:rsidP="00087084">
      <w:pPr>
        <w:pStyle w:val="ListBullet"/>
      </w:pPr>
      <w:r w:rsidRPr="00631C1B">
        <w:t xml:space="preserve">There were two overarching challenges </w:t>
      </w:r>
      <w:r w:rsidR="00CF70F5">
        <w:t xml:space="preserve">underlying </w:t>
      </w:r>
      <w:r w:rsidRPr="00631C1B">
        <w:t>these impacts</w:t>
      </w:r>
      <w:r w:rsidR="00D74DCA" w:rsidRPr="00631C1B">
        <w:t xml:space="preserve">. </w:t>
      </w:r>
      <w:r w:rsidR="00812836" w:rsidRPr="00631C1B">
        <w:t xml:space="preserve">As with Year 3, organisations </w:t>
      </w:r>
      <w:r w:rsidR="007D04A9" w:rsidRPr="00631C1B">
        <w:t xml:space="preserve">recognised the challenge of </w:t>
      </w:r>
      <w:r w:rsidR="00334124" w:rsidRPr="00631C1B">
        <w:t>e</w:t>
      </w:r>
      <w:r w:rsidR="00D74DCA" w:rsidRPr="00631C1B">
        <w:t>nsuring partnerships remain positive and communicative throughout the process,</w:t>
      </w:r>
      <w:r w:rsidR="007D04A9" w:rsidRPr="00631C1B">
        <w:t xml:space="preserve"> as well as enabling </w:t>
      </w:r>
      <w:r w:rsidR="00D74DCA" w:rsidRPr="00631C1B">
        <w:t>institutional learning from</w:t>
      </w:r>
      <w:r w:rsidR="00A846E9" w:rsidRPr="00631C1B">
        <w:t xml:space="preserve"> the </w:t>
      </w:r>
      <w:r w:rsidR="00D74DCA" w:rsidRPr="00631C1B">
        <w:t>process, with reflection and training days for staff</w:t>
      </w:r>
      <w:r w:rsidR="00ED798B" w:rsidRPr="00631C1B">
        <w:t xml:space="preserve">. A </w:t>
      </w:r>
      <w:r w:rsidR="00E864CC" w:rsidRPr="00631C1B">
        <w:t xml:space="preserve">further </w:t>
      </w:r>
      <w:r w:rsidR="00ED798B" w:rsidRPr="00631C1B">
        <w:t>challenge mentioned in End of Project reports w</w:t>
      </w:r>
      <w:r w:rsidR="00E864CC" w:rsidRPr="00631C1B">
        <w:t>as</w:t>
      </w:r>
      <w:r w:rsidR="00ED798B" w:rsidRPr="00631C1B">
        <w:t xml:space="preserve"> h</w:t>
      </w:r>
      <w:r w:rsidR="00D74DCA" w:rsidRPr="00631C1B">
        <w:t>aving the right people and capacity to deliver accreditations as planned</w:t>
      </w:r>
      <w:r w:rsidR="003231CE" w:rsidRPr="00631C1B">
        <w:t xml:space="preserve">. This was particularly the case for delivering </w:t>
      </w:r>
      <w:r w:rsidR="00D74DCA" w:rsidRPr="00631C1B">
        <w:t>Arts Award</w:t>
      </w:r>
      <w:r w:rsidR="003231CE" w:rsidRPr="00631C1B">
        <w:t xml:space="preserve">, which multiple organisations struggled with </w:t>
      </w:r>
      <w:r w:rsidR="00E72E20" w:rsidRPr="00631C1B">
        <w:t xml:space="preserve">delivering given the required time and resource by </w:t>
      </w:r>
      <w:r w:rsidR="003A311F" w:rsidRPr="00631C1B">
        <w:t xml:space="preserve">both </w:t>
      </w:r>
      <w:r w:rsidR="00E72E20" w:rsidRPr="00631C1B">
        <w:t>tutors and participants.</w:t>
      </w:r>
    </w:p>
    <w:p w14:paraId="6B1E1B20" w14:textId="2BB3550E" w:rsidR="001C0CFB" w:rsidRPr="00631C1B" w:rsidRDefault="001C0CFB" w:rsidP="001C0CFB">
      <w:pPr>
        <w:pStyle w:val="Subheadingnonumber"/>
      </w:pPr>
      <w:r w:rsidRPr="00631C1B">
        <w:t>Key programme learning</w:t>
      </w:r>
    </w:p>
    <w:p w14:paraId="7A9B4A0D" w14:textId="474B6856" w:rsidR="001C0CFB" w:rsidRPr="00631C1B" w:rsidRDefault="001C0CFB" w:rsidP="00087084">
      <w:pPr>
        <w:pStyle w:val="ListBullet"/>
      </w:pPr>
      <w:r w:rsidRPr="00631C1B">
        <w:t>Ensure programmes can be built-in to the overall organisational offer</w:t>
      </w:r>
      <w:r w:rsidR="00087084" w:rsidRPr="00631C1B">
        <w:t>,</w:t>
      </w:r>
      <w:r w:rsidRPr="00631C1B">
        <w:t xml:space="preserve"> and that staff and participants can support across projects from different funders wherever possible</w:t>
      </w:r>
    </w:p>
    <w:p w14:paraId="43A9C16B" w14:textId="77777777" w:rsidR="001C0CFB" w:rsidRPr="00631C1B" w:rsidRDefault="001C0CFB" w:rsidP="00087084">
      <w:pPr>
        <w:pStyle w:val="ListBullet"/>
      </w:pPr>
      <w:r w:rsidRPr="00631C1B">
        <w:t>Funders should consider making some ‘draw-down’ funds available for when projects have the possibility to grow or positively adapt from agreed applications</w:t>
      </w:r>
    </w:p>
    <w:p w14:paraId="744E0188" w14:textId="79448D7B" w:rsidR="001C0CFB" w:rsidRPr="00631C1B" w:rsidRDefault="001C0CFB" w:rsidP="00087084">
      <w:pPr>
        <w:pStyle w:val="ListBullet"/>
      </w:pPr>
      <w:r w:rsidRPr="00631C1B">
        <w:t>Projects should ensure they have staff capacity to support on participant accreditation, as well as clear strategies for enabling participants to progress through accreditation wherever possible</w:t>
      </w:r>
      <w:r w:rsidR="009E6AD3" w:rsidRPr="00631C1B">
        <w:t>.</w:t>
      </w:r>
    </w:p>
    <w:p w14:paraId="4D8FEA3C" w14:textId="77777777" w:rsidR="001C0CFB" w:rsidRPr="00631C1B" w:rsidRDefault="001C0CFB" w:rsidP="001C0CFB">
      <w:pPr>
        <w:pStyle w:val="BodyText"/>
      </w:pPr>
    </w:p>
    <w:p w14:paraId="04C5A053" w14:textId="7AA3EB2D" w:rsidR="00773EA6" w:rsidRPr="00631C1B" w:rsidRDefault="00773EA6" w:rsidP="0010544D">
      <w:pPr>
        <w:pStyle w:val="Quotesmall"/>
      </w:pPr>
      <w:r w:rsidRPr="00631C1B">
        <w:tab/>
      </w:r>
    </w:p>
    <w:p w14:paraId="158CBDDE" w14:textId="15E81789" w:rsidR="00EF1844" w:rsidRPr="00631C1B" w:rsidRDefault="00EF1844" w:rsidP="00EF1844">
      <w:pPr>
        <w:pStyle w:val="Heading1"/>
      </w:pPr>
      <w:bookmarkStart w:id="24" w:name="_Toc43980017"/>
      <w:r w:rsidRPr="00631C1B">
        <w:lastRenderedPageBreak/>
        <w:t>Impact on communities</w:t>
      </w:r>
      <w:bookmarkEnd w:id="24"/>
    </w:p>
    <w:p w14:paraId="535CA9AA" w14:textId="3EFF9310" w:rsidR="00EF1844" w:rsidRPr="00631C1B" w:rsidRDefault="00EF1844" w:rsidP="00EF1844">
      <w:pPr>
        <w:pStyle w:val="BodyText"/>
      </w:pPr>
      <w:r w:rsidRPr="00631C1B">
        <w:t xml:space="preserve">The </w:t>
      </w:r>
      <w:proofErr w:type="spellStart"/>
      <w:r w:rsidR="00281FAF" w:rsidRPr="00631C1B">
        <w:t>CashBack</w:t>
      </w:r>
      <w:proofErr w:type="spellEnd"/>
      <w:r w:rsidRPr="00631C1B">
        <w:t xml:space="preserve"> for Creativity programme </w:t>
      </w:r>
      <w:r w:rsidR="001B5A50" w:rsidRPr="00631C1B">
        <w:t>had</w:t>
      </w:r>
      <w:r w:rsidRPr="00631C1B">
        <w:t xml:space="preserve"> </w:t>
      </w:r>
      <w:r w:rsidR="002300C3" w:rsidRPr="00631C1B">
        <w:t xml:space="preserve">a range of immediate and </w:t>
      </w:r>
      <w:r w:rsidR="00B947BC" w:rsidRPr="00631C1B">
        <w:t xml:space="preserve">long-term </w:t>
      </w:r>
      <w:r w:rsidRPr="00631C1B">
        <w:t xml:space="preserve">civic impacts. These were directly related to </w:t>
      </w:r>
      <w:r w:rsidR="001B5A50" w:rsidRPr="00631C1B">
        <w:t xml:space="preserve">programme </w:t>
      </w:r>
      <w:r w:rsidR="00CF15E6" w:rsidRPr="00631C1B">
        <w:t>delivery (e.g. new community partnerships coming together for the first time</w:t>
      </w:r>
      <w:r w:rsidR="002300C3" w:rsidRPr="00631C1B">
        <w:t xml:space="preserve"> and</w:t>
      </w:r>
      <w:r w:rsidR="00CE79FD" w:rsidRPr="00631C1B">
        <w:t xml:space="preserve"> </w:t>
      </w:r>
      <w:r w:rsidRPr="00631C1B">
        <w:t xml:space="preserve">participants </w:t>
      </w:r>
      <w:r w:rsidR="00060462" w:rsidRPr="00631C1B">
        <w:t xml:space="preserve">becoming active members </w:t>
      </w:r>
      <w:r w:rsidRPr="00631C1B">
        <w:t>within their local communities</w:t>
      </w:r>
      <w:r w:rsidR="00CE79FD" w:rsidRPr="00631C1B">
        <w:t>), as well as</w:t>
      </w:r>
      <w:r w:rsidR="00060462" w:rsidRPr="00631C1B">
        <w:t xml:space="preserve"> an indirect consequence of the programme taking place</w:t>
      </w:r>
      <w:r w:rsidR="00A81745" w:rsidRPr="00631C1B">
        <w:t xml:space="preserve"> (e.g. </w:t>
      </w:r>
      <w:r w:rsidR="005C4BF7" w:rsidRPr="00631C1B">
        <w:t>project volunteers gain</w:t>
      </w:r>
      <w:r w:rsidR="00FF156A" w:rsidRPr="00631C1B">
        <w:t>ing</w:t>
      </w:r>
      <w:r w:rsidR="005C4BF7" w:rsidRPr="00631C1B">
        <w:t xml:space="preserve"> valued skills</w:t>
      </w:r>
      <w:r w:rsidR="00FF156A" w:rsidRPr="00631C1B">
        <w:t xml:space="preserve"> and</w:t>
      </w:r>
      <w:r w:rsidR="005C4BF7" w:rsidRPr="00631C1B">
        <w:t xml:space="preserve"> knowledge</w:t>
      </w:r>
      <w:r w:rsidR="00FF156A" w:rsidRPr="00631C1B">
        <w:t xml:space="preserve">, which </w:t>
      </w:r>
      <w:r w:rsidR="005C4BF7" w:rsidRPr="00631C1B">
        <w:t>they are</w:t>
      </w:r>
      <w:r w:rsidR="00FF156A" w:rsidRPr="00631C1B">
        <w:t xml:space="preserve"> now</w:t>
      </w:r>
      <w:r w:rsidR="005C4BF7" w:rsidRPr="00631C1B">
        <w:t xml:space="preserve"> using in other community activities)</w:t>
      </w:r>
      <w:r w:rsidR="00060462" w:rsidRPr="00631C1B">
        <w:t xml:space="preserve">. </w:t>
      </w:r>
      <w:r w:rsidR="00FF156A" w:rsidRPr="00631C1B">
        <w:t>This section outlines the most significant of these.</w:t>
      </w:r>
    </w:p>
    <w:p w14:paraId="24E5CB8E" w14:textId="77777777" w:rsidR="00EF1844" w:rsidRPr="00631C1B" w:rsidRDefault="00EF1844" w:rsidP="00EF1844">
      <w:pPr>
        <w:pStyle w:val="Subheadingnonumber"/>
      </w:pPr>
      <w:r w:rsidRPr="00631C1B">
        <w:t>Key findings for Year 3</w:t>
      </w:r>
    </w:p>
    <w:p w14:paraId="1EBED689" w14:textId="77777777" w:rsidR="00EF1844" w:rsidRPr="00631C1B" w:rsidRDefault="00EF1844" w:rsidP="00EF1844">
      <w:pPr>
        <w:pStyle w:val="BodyText"/>
        <w:rPr>
          <w:b/>
        </w:rPr>
      </w:pPr>
      <w:r w:rsidRPr="00631C1B">
        <w:rPr>
          <w:b/>
        </w:rPr>
        <w:t>Targeted fund</w:t>
      </w:r>
    </w:p>
    <w:p w14:paraId="01CD8B1E" w14:textId="016350BE" w:rsidR="00455E74" w:rsidRPr="00631C1B" w:rsidRDefault="00455E74" w:rsidP="00455E74">
      <w:pPr>
        <w:pStyle w:val="ListBullet"/>
        <w:rPr>
          <w:bCs/>
        </w:rPr>
      </w:pPr>
      <w:r w:rsidRPr="00631C1B">
        <w:rPr>
          <w:bCs/>
        </w:rPr>
        <w:t xml:space="preserve">Following their engagement with the programme, participants </w:t>
      </w:r>
      <w:r w:rsidR="00F171FF" w:rsidRPr="00631C1B">
        <w:rPr>
          <w:bCs/>
        </w:rPr>
        <w:t xml:space="preserve">have </w:t>
      </w:r>
      <w:r w:rsidRPr="00631C1B">
        <w:rPr>
          <w:bCs/>
        </w:rPr>
        <w:t xml:space="preserve">become </w:t>
      </w:r>
      <w:r w:rsidR="00C754C4" w:rsidRPr="00631C1B">
        <w:rPr>
          <w:bCs/>
        </w:rPr>
        <w:t xml:space="preserve">(more) </w:t>
      </w:r>
      <w:r w:rsidRPr="00631C1B">
        <w:rPr>
          <w:bCs/>
        </w:rPr>
        <w:t>active members of their</w:t>
      </w:r>
      <w:r w:rsidR="008941FF" w:rsidRPr="00631C1B">
        <w:rPr>
          <w:bCs/>
        </w:rPr>
        <w:t xml:space="preserve"> local</w:t>
      </w:r>
      <w:r w:rsidRPr="00631C1B">
        <w:rPr>
          <w:bCs/>
        </w:rPr>
        <w:t xml:space="preserve"> community</w:t>
      </w:r>
      <w:r w:rsidR="005D5514" w:rsidRPr="00631C1B">
        <w:rPr>
          <w:bCs/>
        </w:rPr>
        <w:t>. This was</w:t>
      </w:r>
      <w:r w:rsidR="00050117" w:rsidRPr="00631C1B">
        <w:rPr>
          <w:bCs/>
        </w:rPr>
        <w:t xml:space="preserve"> largely down to two </w:t>
      </w:r>
      <w:r w:rsidR="00CE2BFE" w:rsidRPr="00631C1B">
        <w:rPr>
          <w:bCs/>
        </w:rPr>
        <w:t xml:space="preserve">interrelated efforts by the </w:t>
      </w:r>
      <w:r w:rsidR="00BC06D9" w:rsidRPr="00631C1B">
        <w:rPr>
          <w:bCs/>
        </w:rPr>
        <w:t>Targeted Fund organisations</w:t>
      </w:r>
      <w:r w:rsidR="00050117" w:rsidRPr="00631C1B">
        <w:rPr>
          <w:bCs/>
        </w:rPr>
        <w:t>. First, eff</w:t>
      </w:r>
      <w:r w:rsidR="006173E4" w:rsidRPr="00631C1B">
        <w:rPr>
          <w:bCs/>
        </w:rPr>
        <w:t xml:space="preserve">ective </w:t>
      </w:r>
      <w:r w:rsidR="005D5514" w:rsidRPr="00631C1B">
        <w:rPr>
          <w:bCs/>
        </w:rPr>
        <w:t xml:space="preserve">signposting and referrals to </w:t>
      </w:r>
      <w:r w:rsidR="006173E4" w:rsidRPr="00631C1B">
        <w:rPr>
          <w:bCs/>
        </w:rPr>
        <w:t xml:space="preserve">complementary </w:t>
      </w:r>
      <w:r w:rsidR="005D5514" w:rsidRPr="00631C1B">
        <w:rPr>
          <w:bCs/>
        </w:rPr>
        <w:t>follow up destinations and opportunities (</w:t>
      </w:r>
      <w:r w:rsidR="00BC06D9" w:rsidRPr="00631C1B">
        <w:rPr>
          <w:bCs/>
        </w:rPr>
        <w:t>further details in S</w:t>
      </w:r>
      <w:r w:rsidR="005D5514" w:rsidRPr="00631C1B">
        <w:rPr>
          <w:bCs/>
        </w:rPr>
        <w:t>ection 8)</w:t>
      </w:r>
      <w:r w:rsidR="006173E4" w:rsidRPr="00631C1B">
        <w:rPr>
          <w:bCs/>
        </w:rPr>
        <w:t xml:space="preserve">. Second, </w:t>
      </w:r>
      <w:r w:rsidR="0073287A" w:rsidRPr="00631C1B">
        <w:rPr>
          <w:bCs/>
        </w:rPr>
        <w:t>empowering</w:t>
      </w:r>
      <w:r w:rsidRPr="00631C1B">
        <w:rPr>
          <w:bCs/>
        </w:rPr>
        <w:t xml:space="preserve"> participants to believe and know they can make a difference in their community</w:t>
      </w:r>
      <w:r w:rsidR="00FA401C" w:rsidRPr="00631C1B">
        <w:rPr>
          <w:bCs/>
        </w:rPr>
        <w:t xml:space="preserve"> if they would </w:t>
      </w:r>
      <w:r w:rsidR="0017183A" w:rsidRPr="00631C1B">
        <w:rPr>
          <w:bCs/>
        </w:rPr>
        <w:t>‘give it a go’</w:t>
      </w:r>
    </w:p>
    <w:p w14:paraId="455EBC04" w14:textId="75D5A542" w:rsidR="00455E74" w:rsidRPr="00631C1B" w:rsidRDefault="003359F0" w:rsidP="00455E74">
      <w:pPr>
        <w:pStyle w:val="ListBullet"/>
        <w:rPr>
          <w:bCs/>
        </w:rPr>
      </w:pPr>
      <w:r w:rsidRPr="00631C1B">
        <w:rPr>
          <w:bCs/>
        </w:rPr>
        <w:t xml:space="preserve">As part of the programme delivery, </w:t>
      </w:r>
      <w:r w:rsidR="000B7ABA" w:rsidRPr="00631C1B">
        <w:rPr>
          <w:bCs/>
        </w:rPr>
        <w:t>the projects</w:t>
      </w:r>
      <w:r w:rsidR="00455E74" w:rsidRPr="00631C1B">
        <w:rPr>
          <w:bCs/>
        </w:rPr>
        <w:t xml:space="preserve"> supported </w:t>
      </w:r>
      <w:r w:rsidR="000B7ABA" w:rsidRPr="00631C1B">
        <w:rPr>
          <w:bCs/>
        </w:rPr>
        <w:t xml:space="preserve">their </w:t>
      </w:r>
      <w:r w:rsidR="00455E74" w:rsidRPr="00631C1B">
        <w:rPr>
          <w:bCs/>
        </w:rPr>
        <w:t>community partners to grow their</w:t>
      </w:r>
      <w:r w:rsidR="000B7ABA" w:rsidRPr="00631C1B">
        <w:rPr>
          <w:bCs/>
        </w:rPr>
        <w:t xml:space="preserve"> own</w:t>
      </w:r>
      <w:r w:rsidR="00455E74" w:rsidRPr="00631C1B">
        <w:rPr>
          <w:bCs/>
        </w:rPr>
        <w:t xml:space="preserve"> capacity and reach</w:t>
      </w:r>
      <w:r w:rsidRPr="00631C1B">
        <w:rPr>
          <w:bCs/>
        </w:rPr>
        <w:t xml:space="preserve">. </w:t>
      </w:r>
      <w:r w:rsidR="00E20F60" w:rsidRPr="00631C1B">
        <w:rPr>
          <w:bCs/>
        </w:rPr>
        <w:t>Linked to the previous point, t</w:t>
      </w:r>
      <w:r w:rsidRPr="00631C1B">
        <w:rPr>
          <w:bCs/>
        </w:rPr>
        <w:t xml:space="preserve">his was through </w:t>
      </w:r>
      <w:r w:rsidR="000B7ABA" w:rsidRPr="00631C1B">
        <w:rPr>
          <w:bCs/>
        </w:rPr>
        <w:t xml:space="preserve">both </w:t>
      </w:r>
      <w:r w:rsidR="00C663E5" w:rsidRPr="00631C1B">
        <w:rPr>
          <w:bCs/>
        </w:rPr>
        <w:t>provi</w:t>
      </w:r>
      <w:r w:rsidR="00E20F60" w:rsidRPr="00631C1B">
        <w:rPr>
          <w:bCs/>
        </w:rPr>
        <w:t>ding a ‘pipeline’ of young people to engage with</w:t>
      </w:r>
      <w:r w:rsidR="00E0695B" w:rsidRPr="00631C1B">
        <w:rPr>
          <w:bCs/>
        </w:rPr>
        <w:t xml:space="preserve">, as well as raising </w:t>
      </w:r>
      <w:r w:rsidR="00E20F60" w:rsidRPr="00631C1B">
        <w:rPr>
          <w:bCs/>
        </w:rPr>
        <w:t>aware</w:t>
      </w:r>
      <w:r w:rsidR="00E0695B" w:rsidRPr="00631C1B">
        <w:rPr>
          <w:bCs/>
        </w:rPr>
        <w:t xml:space="preserve">ness </w:t>
      </w:r>
      <w:r w:rsidR="00E20F60" w:rsidRPr="00631C1B">
        <w:rPr>
          <w:bCs/>
        </w:rPr>
        <w:t>of the</w:t>
      </w:r>
      <w:r w:rsidR="00F55D57" w:rsidRPr="00631C1B">
        <w:rPr>
          <w:bCs/>
        </w:rPr>
        <w:t xml:space="preserve"> partners’</w:t>
      </w:r>
      <w:r w:rsidR="00E20F60" w:rsidRPr="00631C1B">
        <w:rPr>
          <w:bCs/>
        </w:rPr>
        <w:t xml:space="preserve"> programm</w:t>
      </w:r>
      <w:r w:rsidR="00E0695B" w:rsidRPr="00631C1B">
        <w:rPr>
          <w:bCs/>
        </w:rPr>
        <w:t>es</w:t>
      </w:r>
      <w:r w:rsidR="00F55D57" w:rsidRPr="00631C1B">
        <w:rPr>
          <w:bCs/>
        </w:rPr>
        <w:t xml:space="preserve"> and offer</w:t>
      </w:r>
    </w:p>
    <w:p w14:paraId="5E5FAF2F" w14:textId="18F65D1E" w:rsidR="00455E74" w:rsidRPr="00631C1B" w:rsidRDefault="00E0695B" w:rsidP="00455E74">
      <w:pPr>
        <w:pStyle w:val="ListBullet"/>
        <w:rPr>
          <w:bCs/>
        </w:rPr>
      </w:pPr>
      <w:r w:rsidRPr="00631C1B">
        <w:rPr>
          <w:bCs/>
        </w:rPr>
        <w:t>There are s</w:t>
      </w:r>
      <w:r w:rsidR="00E20F60" w:rsidRPr="00631C1B">
        <w:rPr>
          <w:bCs/>
        </w:rPr>
        <w:t>pecific examples of p</w:t>
      </w:r>
      <w:r w:rsidR="00455E74" w:rsidRPr="00631C1B">
        <w:rPr>
          <w:bCs/>
        </w:rPr>
        <w:t>rojects enhanc</w:t>
      </w:r>
      <w:r w:rsidR="00E20F60" w:rsidRPr="00631C1B">
        <w:rPr>
          <w:bCs/>
        </w:rPr>
        <w:t>ing the</w:t>
      </w:r>
      <w:r w:rsidRPr="00631C1B">
        <w:rPr>
          <w:bCs/>
        </w:rPr>
        <w:t>ir</w:t>
      </w:r>
      <w:r w:rsidR="00E20F60" w:rsidRPr="00631C1B">
        <w:rPr>
          <w:bCs/>
        </w:rPr>
        <w:t xml:space="preserve"> communit</w:t>
      </w:r>
      <w:r w:rsidR="0082257D" w:rsidRPr="00631C1B">
        <w:rPr>
          <w:bCs/>
        </w:rPr>
        <w:t>y’s</w:t>
      </w:r>
      <w:r w:rsidR="00E20F60" w:rsidRPr="00631C1B">
        <w:rPr>
          <w:bCs/>
        </w:rPr>
        <w:t xml:space="preserve"> cultural </w:t>
      </w:r>
      <w:r w:rsidR="00455E74" w:rsidRPr="00631C1B">
        <w:rPr>
          <w:bCs/>
        </w:rPr>
        <w:t>infrastructure for</w:t>
      </w:r>
      <w:r w:rsidR="00AE058F" w:rsidRPr="00631C1B">
        <w:rPr>
          <w:bCs/>
        </w:rPr>
        <w:t xml:space="preserve"> other</w:t>
      </w:r>
      <w:r w:rsidR="00E20F60" w:rsidRPr="00631C1B">
        <w:rPr>
          <w:bCs/>
        </w:rPr>
        <w:t xml:space="preserve"> young people </w:t>
      </w:r>
      <w:r w:rsidR="00455E74" w:rsidRPr="00631C1B">
        <w:rPr>
          <w:bCs/>
        </w:rPr>
        <w:t>to access</w:t>
      </w:r>
      <w:r w:rsidR="0082257D" w:rsidRPr="00631C1B">
        <w:rPr>
          <w:bCs/>
        </w:rPr>
        <w:t>. For example,</w:t>
      </w:r>
      <w:r w:rsidR="00455E74" w:rsidRPr="00631C1B">
        <w:rPr>
          <w:bCs/>
        </w:rPr>
        <w:t xml:space="preserve"> </w:t>
      </w:r>
      <w:r w:rsidR="006F07FC" w:rsidRPr="00631C1B">
        <w:rPr>
          <w:bCs/>
        </w:rPr>
        <w:t xml:space="preserve">Quarrier’s </w:t>
      </w:r>
      <w:r w:rsidR="00906DB0" w:rsidRPr="00631C1B">
        <w:rPr>
          <w:bCs/>
        </w:rPr>
        <w:t xml:space="preserve">Carlton Studio has continued to </w:t>
      </w:r>
      <w:r w:rsidR="00716D5C" w:rsidRPr="00631C1B">
        <w:rPr>
          <w:bCs/>
        </w:rPr>
        <w:t>offer</w:t>
      </w:r>
      <w:r w:rsidR="00906DB0" w:rsidRPr="00631C1B">
        <w:rPr>
          <w:bCs/>
        </w:rPr>
        <w:t xml:space="preserve"> the community’s young people </w:t>
      </w:r>
      <w:r w:rsidR="00716D5C" w:rsidRPr="00631C1B">
        <w:rPr>
          <w:bCs/>
        </w:rPr>
        <w:t xml:space="preserve">a free space to </w:t>
      </w:r>
      <w:r w:rsidR="00B16F6F" w:rsidRPr="00631C1B">
        <w:rPr>
          <w:bCs/>
        </w:rPr>
        <w:t>record and mix music recordings, as well as rehears</w:t>
      </w:r>
      <w:r w:rsidR="006A2AF7" w:rsidRPr="00631C1B">
        <w:rPr>
          <w:bCs/>
        </w:rPr>
        <w:t>e</w:t>
      </w:r>
    </w:p>
    <w:p w14:paraId="2C8B7964" w14:textId="3333C8B1" w:rsidR="00EF1844" w:rsidRPr="00CF70F5" w:rsidRDefault="00455E74" w:rsidP="00455E74">
      <w:pPr>
        <w:pStyle w:val="ListBullet"/>
        <w:rPr>
          <w:bCs/>
        </w:rPr>
      </w:pPr>
      <w:r w:rsidRPr="00631C1B">
        <w:rPr>
          <w:bCs/>
        </w:rPr>
        <w:t xml:space="preserve">Project volunteers have gained </w:t>
      </w:r>
      <w:r w:rsidR="00490C6E" w:rsidRPr="00631C1B">
        <w:rPr>
          <w:bCs/>
        </w:rPr>
        <w:t>valuable</w:t>
      </w:r>
      <w:r w:rsidR="00C4591B" w:rsidRPr="00631C1B">
        <w:rPr>
          <w:bCs/>
        </w:rPr>
        <w:t xml:space="preserve"> hard and soft </w:t>
      </w:r>
      <w:r w:rsidRPr="00631C1B">
        <w:rPr>
          <w:bCs/>
        </w:rPr>
        <w:t>skills</w:t>
      </w:r>
      <w:r w:rsidR="00CF70F5">
        <w:rPr>
          <w:bCs/>
        </w:rPr>
        <w:t xml:space="preserve">. </w:t>
      </w:r>
      <w:r w:rsidR="00EC4578" w:rsidRPr="00631C1B">
        <w:rPr>
          <w:bCs/>
        </w:rPr>
        <w:t xml:space="preserve">Organisations report that their volunteers </w:t>
      </w:r>
      <w:r w:rsidR="00C4591B" w:rsidRPr="00631C1B">
        <w:rPr>
          <w:bCs/>
        </w:rPr>
        <w:t>have</w:t>
      </w:r>
      <w:r w:rsidR="00EC4578" w:rsidRPr="00631C1B">
        <w:rPr>
          <w:bCs/>
        </w:rPr>
        <w:t xml:space="preserve"> </w:t>
      </w:r>
      <w:r w:rsidR="00C4591B" w:rsidRPr="00631C1B">
        <w:rPr>
          <w:bCs/>
        </w:rPr>
        <w:t>continued to apply to</w:t>
      </w:r>
      <w:r w:rsidR="00EC4578" w:rsidRPr="00631C1B">
        <w:rPr>
          <w:bCs/>
        </w:rPr>
        <w:t xml:space="preserve"> other</w:t>
      </w:r>
      <w:r w:rsidR="00C4591B" w:rsidRPr="00631C1B">
        <w:rPr>
          <w:bCs/>
        </w:rPr>
        <w:t xml:space="preserve"> </w:t>
      </w:r>
      <w:r w:rsidRPr="00631C1B">
        <w:rPr>
          <w:bCs/>
        </w:rPr>
        <w:t xml:space="preserve">community activities </w:t>
      </w:r>
      <w:r w:rsidR="009E0EDA" w:rsidRPr="00631C1B">
        <w:rPr>
          <w:bCs/>
        </w:rPr>
        <w:t>they are involved in</w:t>
      </w:r>
      <w:r w:rsidR="00AF518C" w:rsidRPr="00631C1B">
        <w:rPr>
          <w:bCs/>
        </w:rPr>
        <w:t xml:space="preserve"> </w:t>
      </w:r>
      <w:r w:rsidR="00AF518C" w:rsidRPr="00631C1B">
        <w:t>(</w:t>
      </w:r>
      <w:r w:rsidR="003B15B9" w:rsidRPr="00631C1B">
        <w:t>e.g. Findhorn</w:t>
      </w:r>
      <w:r w:rsidR="00CB66B5" w:rsidRPr="00631C1B">
        <w:t xml:space="preserve"> Bay Arts</w:t>
      </w:r>
      <w:r w:rsidR="00AF518C" w:rsidRPr="00631C1B">
        <w:t>).</w:t>
      </w:r>
    </w:p>
    <w:p w14:paraId="1E7615EC" w14:textId="77777777" w:rsidR="00CF70F5" w:rsidRPr="00631C1B" w:rsidRDefault="00CF70F5" w:rsidP="00CF70F5">
      <w:pPr>
        <w:pStyle w:val="ListBullet"/>
        <w:numPr>
          <w:ilvl w:val="0"/>
          <w:numId w:val="0"/>
        </w:numPr>
        <w:ind w:left="284"/>
        <w:rPr>
          <w:bCs/>
        </w:rPr>
      </w:pPr>
    </w:p>
    <w:p w14:paraId="7DBCB3DC" w14:textId="6C78DC50" w:rsidR="00EF1844" w:rsidRPr="00631C1B" w:rsidRDefault="00EF1844" w:rsidP="00EF1844">
      <w:pPr>
        <w:pStyle w:val="ListBullet"/>
        <w:numPr>
          <w:ilvl w:val="0"/>
          <w:numId w:val="0"/>
        </w:numPr>
        <w:rPr>
          <w:b/>
        </w:rPr>
      </w:pPr>
      <w:r w:rsidRPr="00631C1B">
        <w:rPr>
          <w:b/>
        </w:rPr>
        <w:t>Open Fund</w:t>
      </w:r>
    </w:p>
    <w:p w14:paraId="41666D13" w14:textId="70176F48" w:rsidR="00244678" w:rsidRPr="00631C1B" w:rsidRDefault="002F2FA3" w:rsidP="00244678">
      <w:pPr>
        <w:pStyle w:val="ListBullet"/>
      </w:pPr>
      <w:r w:rsidRPr="00631C1B">
        <w:t xml:space="preserve">Several </w:t>
      </w:r>
      <w:r w:rsidR="00B801DB" w:rsidRPr="00631C1B">
        <w:t>Open Fund organisations reported</w:t>
      </w:r>
      <w:r w:rsidRPr="00631C1B">
        <w:t xml:space="preserve"> </w:t>
      </w:r>
      <w:r w:rsidR="006351E1" w:rsidRPr="00631C1B">
        <w:t xml:space="preserve">participants and stakeholders </w:t>
      </w:r>
      <w:r w:rsidR="00B801DB" w:rsidRPr="00631C1B">
        <w:t>i</w:t>
      </w:r>
      <w:r w:rsidR="00244678" w:rsidRPr="00631C1B">
        <w:t>ncreased awareness of the importance and existence of</w:t>
      </w:r>
      <w:r w:rsidR="00B979F4" w:rsidRPr="00631C1B">
        <w:t xml:space="preserve"> </w:t>
      </w:r>
      <w:r w:rsidR="006351E1" w:rsidRPr="00631C1B">
        <w:t xml:space="preserve">the </w:t>
      </w:r>
      <w:r w:rsidR="00B979F4" w:rsidRPr="00631C1B">
        <w:t>art and cultural offer</w:t>
      </w:r>
      <w:r w:rsidR="00244678" w:rsidRPr="00631C1B">
        <w:t xml:space="preserve"> </w:t>
      </w:r>
      <w:r w:rsidRPr="00631C1B">
        <w:t>with</w:t>
      </w:r>
      <w:r w:rsidR="00244678" w:rsidRPr="00631C1B">
        <w:t>in the</w:t>
      </w:r>
      <w:r w:rsidR="006351E1" w:rsidRPr="00631C1B">
        <w:t>ir</w:t>
      </w:r>
      <w:r w:rsidR="00244678" w:rsidRPr="00631C1B">
        <w:t xml:space="preserve"> local community</w:t>
      </w:r>
      <w:r w:rsidR="00B979F4" w:rsidRPr="00631C1B">
        <w:t>, as a result of the programme</w:t>
      </w:r>
      <w:r w:rsidR="00244678" w:rsidRPr="00631C1B">
        <w:t xml:space="preserve">. </w:t>
      </w:r>
      <w:r w:rsidR="00B979F4" w:rsidRPr="00631C1B">
        <w:t xml:space="preserve">For example, </w:t>
      </w:r>
      <w:r w:rsidR="00696D1F" w:rsidRPr="00631C1B">
        <w:t xml:space="preserve">Listen Lanarkshire </w:t>
      </w:r>
      <w:r w:rsidR="00B979F4" w:rsidRPr="00631C1B">
        <w:t xml:space="preserve">radio </w:t>
      </w:r>
      <w:r w:rsidR="00696D1F" w:rsidRPr="00631C1B">
        <w:t>broadcast</w:t>
      </w:r>
      <w:r w:rsidR="00B979F4" w:rsidRPr="00631C1B">
        <w:t>ed</w:t>
      </w:r>
      <w:r w:rsidR="00696D1F" w:rsidRPr="00631C1B">
        <w:t xml:space="preserve"> topics focused on the talents of local young people, as well as sharing current affairs. This highlighted </w:t>
      </w:r>
      <w:r w:rsidR="00107CA9" w:rsidRPr="00631C1B">
        <w:t>a latent</w:t>
      </w:r>
      <w:r w:rsidR="00696D1F" w:rsidRPr="00631C1B">
        <w:t xml:space="preserve"> talent </w:t>
      </w:r>
      <w:r w:rsidR="00107CA9" w:rsidRPr="00631C1B">
        <w:t xml:space="preserve">amongst </w:t>
      </w:r>
      <w:r w:rsidR="006209A3" w:rsidRPr="00631C1B">
        <w:t>residents</w:t>
      </w:r>
      <w:r w:rsidR="00696D1F" w:rsidRPr="00631C1B">
        <w:t>, as well as the opportunity for listeners to know what's happening locally</w:t>
      </w:r>
      <w:r w:rsidR="007F446A" w:rsidRPr="00631C1B">
        <w:t xml:space="preserve"> and take part</w:t>
      </w:r>
    </w:p>
    <w:p w14:paraId="117356AF" w14:textId="41484AD1" w:rsidR="00244678" w:rsidRPr="00631C1B" w:rsidRDefault="008C539A" w:rsidP="00244678">
      <w:pPr>
        <w:pStyle w:val="ListBullet"/>
      </w:pPr>
      <w:r w:rsidRPr="00631C1B">
        <w:t xml:space="preserve">In some </w:t>
      </w:r>
      <w:r w:rsidR="007F446A" w:rsidRPr="00631C1B">
        <w:t xml:space="preserve">specific </w:t>
      </w:r>
      <w:r w:rsidRPr="00631C1B">
        <w:t>cases t</w:t>
      </w:r>
      <w:r w:rsidR="008E7ECF" w:rsidRPr="00631C1B">
        <w:t>he programm</w:t>
      </w:r>
      <w:r w:rsidR="007F446A" w:rsidRPr="00631C1B">
        <w:t xml:space="preserve">e </w:t>
      </w:r>
      <w:r w:rsidR="008E7ECF" w:rsidRPr="00631C1B">
        <w:t>e</w:t>
      </w:r>
      <w:r w:rsidR="0001552C" w:rsidRPr="00631C1B">
        <w:t>nhanc</w:t>
      </w:r>
      <w:r w:rsidR="008E7ECF" w:rsidRPr="00631C1B">
        <w:t xml:space="preserve">ed </w:t>
      </w:r>
      <w:r w:rsidR="0001552C" w:rsidRPr="00631C1B">
        <w:t xml:space="preserve">the local </w:t>
      </w:r>
      <w:proofErr w:type="gramStart"/>
      <w:r w:rsidR="0001552C" w:rsidRPr="00631C1B">
        <w:t>c</w:t>
      </w:r>
      <w:r w:rsidR="00244678" w:rsidRPr="00631C1B">
        <w:t>ommunity</w:t>
      </w:r>
      <w:r w:rsidR="0001552C" w:rsidRPr="00631C1B">
        <w:t xml:space="preserve">’s </w:t>
      </w:r>
      <w:r w:rsidR="00F85930" w:rsidRPr="00631C1B">
        <w:t>built</w:t>
      </w:r>
      <w:proofErr w:type="gramEnd"/>
      <w:r w:rsidR="00F85930" w:rsidRPr="00631C1B">
        <w:t xml:space="preserve"> environment</w:t>
      </w:r>
      <w:r w:rsidR="00355682" w:rsidRPr="00631C1B">
        <w:t xml:space="preserve">. </w:t>
      </w:r>
      <w:r w:rsidRPr="00631C1B">
        <w:t xml:space="preserve">For example, </w:t>
      </w:r>
      <w:r w:rsidR="00355682" w:rsidRPr="00631C1B">
        <w:t xml:space="preserve">RIG Arts </w:t>
      </w:r>
      <w:r w:rsidR="002D302B" w:rsidRPr="00631C1B">
        <w:t xml:space="preserve">created a 9-foot structure in the centre of Clydebank Shopping Centre. </w:t>
      </w:r>
      <w:r w:rsidR="00B427AE" w:rsidRPr="00631C1B">
        <w:t xml:space="preserve">This was received very </w:t>
      </w:r>
      <w:r w:rsidR="002D302B" w:rsidRPr="00631C1B">
        <w:t>positive</w:t>
      </w:r>
      <w:r w:rsidR="00B427AE" w:rsidRPr="00631C1B">
        <w:t>ly,</w:t>
      </w:r>
      <w:r w:rsidR="000A0ABE" w:rsidRPr="00631C1B">
        <w:t xml:space="preserve"> acting </w:t>
      </w:r>
      <w:r w:rsidR="00B427AE" w:rsidRPr="00631C1B">
        <w:t xml:space="preserve">as a </w:t>
      </w:r>
      <w:r w:rsidR="002D302B" w:rsidRPr="00631C1B">
        <w:t>piece of public art for visitors to enjoy, as well as bringing new attention to the school</w:t>
      </w:r>
      <w:r w:rsidR="00135A75" w:rsidRPr="00631C1B">
        <w:t xml:space="preserve"> partner</w:t>
      </w:r>
      <w:r w:rsidR="002D302B" w:rsidRPr="00631C1B">
        <w:t xml:space="preserve"> and </w:t>
      </w:r>
      <w:r w:rsidR="00923618" w:rsidRPr="00631C1B">
        <w:t xml:space="preserve">the </w:t>
      </w:r>
      <w:r w:rsidR="002D302B" w:rsidRPr="00631C1B">
        <w:t>programme</w:t>
      </w:r>
    </w:p>
    <w:p w14:paraId="05BAFB1B" w14:textId="60A927FD" w:rsidR="00CF70F5" w:rsidRPr="00631C1B" w:rsidRDefault="00F51223" w:rsidP="00CF70F5">
      <w:pPr>
        <w:pStyle w:val="ListBullet"/>
      </w:pPr>
      <w:r w:rsidRPr="00631C1B">
        <w:t>Project</w:t>
      </w:r>
      <w:r w:rsidR="00244678" w:rsidRPr="00631C1B">
        <w:t xml:space="preserve"> volunteers gained valued skills </w:t>
      </w:r>
      <w:r w:rsidR="00947295" w:rsidRPr="00631C1B">
        <w:t>and</w:t>
      </w:r>
      <w:r w:rsidR="00244678" w:rsidRPr="00631C1B">
        <w:t xml:space="preserve"> knowledge they </w:t>
      </w:r>
      <w:r w:rsidR="00923618" w:rsidRPr="00631C1B">
        <w:t xml:space="preserve">can and have since </w:t>
      </w:r>
      <w:r w:rsidR="00244678" w:rsidRPr="00631C1B">
        <w:t>use</w:t>
      </w:r>
      <w:r w:rsidR="00923618" w:rsidRPr="00631C1B">
        <w:t>d</w:t>
      </w:r>
      <w:r w:rsidR="00244678" w:rsidRPr="00631C1B">
        <w:t xml:space="preserve"> in other community activities</w:t>
      </w:r>
      <w:r w:rsidR="00947295" w:rsidRPr="00631C1B">
        <w:t xml:space="preserve">. This was specifically the case for </w:t>
      </w:r>
      <w:r w:rsidR="00244678" w:rsidRPr="00631C1B">
        <w:t>TD1 Music Project</w:t>
      </w:r>
      <w:r w:rsidR="00923618" w:rsidRPr="00631C1B">
        <w:t>,</w:t>
      </w:r>
      <w:r w:rsidR="00947295" w:rsidRPr="00631C1B">
        <w:t xml:space="preserve"> whose programme staff are largely freelance a</w:t>
      </w:r>
      <w:r w:rsidR="000463C5" w:rsidRPr="00631C1B">
        <w:t>rtists and creative practitioners</w:t>
      </w:r>
    </w:p>
    <w:p w14:paraId="531C6EB0" w14:textId="30DC8E45" w:rsidR="00E357E6" w:rsidRPr="00631C1B" w:rsidRDefault="00E357E6" w:rsidP="00CF70F5">
      <w:pPr>
        <w:pStyle w:val="ListBullet"/>
      </w:pPr>
      <w:r w:rsidRPr="00631C1B">
        <w:t>Several organisations spoke of how they d</w:t>
      </w:r>
      <w:r w:rsidR="00244678" w:rsidRPr="00631C1B">
        <w:t>eveloped new partnerships with other youth services in the</w:t>
      </w:r>
      <w:r w:rsidR="008856F8" w:rsidRPr="00631C1B">
        <w:t xml:space="preserve">ir local </w:t>
      </w:r>
      <w:r w:rsidR="00244678" w:rsidRPr="00631C1B">
        <w:t xml:space="preserve">town. In the case of </w:t>
      </w:r>
      <w:proofErr w:type="spellStart"/>
      <w:r w:rsidR="00244678" w:rsidRPr="00631C1B">
        <w:t>Lyth</w:t>
      </w:r>
      <w:proofErr w:type="spellEnd"/>
      <w:r w:rsidR="00244678" w:rsidRPr="00631C1B">
        <w:t xml:space="preserve"> Arts Centre Young Company, it has increased capacity for these services to create a professional, high quality arts experience offer for the young people they work with, wh</w:t>
      </w:r>
      <w:r w:rsidR="008856F8" w:rsidRPr="00631C1B">
        <w:t>ich</w:t>
      </w:r>
      <w:r w:rsidR="00244678" w:rsidRPr="00631C1B">
        <w:t xml:space="preserve"> was previously not happening.</w:t>
      </w:r>
    </w:p>
    <w:p w14:paraId="20F53FF0" w14:textId="390CC891" w:rsidR="00EF1844" w:rsidRPr="00631C1B" w:rsidRDefault="00EF1844" w:rsidP="00EF1844">
      <w:pPr>
        <w:pStyle w:val="Subheadingnonumber"/>
      </w:pPr>
      <w:r w:rsidRPr="00631C1B">
        <w:t>Key findings for Targeted Fund across all years</w:t>
      </w:r>
    </w:p>
    <w:p w14:paraId="5F9FE3CC" w14:textId="7A96779D" w:rsidR="00AB4E64" w:rsidRPr="00631C1B" w:rsidRDefault="00AB4E64" w:rsidP="00AB4E64">
      <w:pPr>
        <w:pStyle w:val="BodyText"/>
      </w:pPr>
      <w:r w:rsidRPr="00631C1B">
        <w:t xml:space="preserve">End of Project reports outlined many of the same key </w:t>
      </w:r>
      <w:r w:rsidR="00567C85" w:rsidRPr="00631C1B">
        <w:t xml:space="preserve">civic </w:t>
      </w:r>
      <w:r w:rsidRPr="00631C1B">
        <w:t>impacts highlighted in Year 3 annual reports. In addition, Targeted Fund organisations reported:</w:t>
      </w:r>
    </w:p>
    <w:p w14:paraId="711E7558" w14:textId="7A65A94F" w:rsidR="00383CAC" w:rsidRPr="00631C1B" w:rsidRDefault="00AD0B53" w:rsidP="00383CAC">
      <w:pPr>
        <w:pStyle w:val="ListBullet"/>
      </w:pPr>
      <w:r w:rsidRPr="00631C1B">
        <w:t xml:space="preserve">A </w:t>
      </w:r>
      <w:r w:rsidR="00755E85" w:rsidRPr="00631C1B">
        <w:t>‘</w:t>
      </w:r>
      <w:r w:rsidR="008774F4" w:rsidRPr="00631C1B">
        <w:t>spill over</w:t>
      </w:r>
      <w:r w:rsidR="00534337" w:rsidRPr="00631C1B">
        <w:t xml:space="preserve"> </w:t>
      </w:r>
      <w:r w:rsidR="008D1E5D" w:rsidRPr="00631C1B">
        <w:t>effect</w:t>
      </w:r>
      <w:r w:rsidR="00755E85" w:rsidRPr="00631C1B">
        <w:t>’</w:t>
      </w:r>
      <w:r w:rsidR="008D1E5D" w:rsidRPr="00631C1B">
        <w:t xml:space="preserve">, where </w:t>
      </w:r>
      <w:r w:rsidR="00342A0A" w:rsidRPr="00631C1B">
        <w:t xml:space="preserve">the projects’ </w:t>
      </w:r>
      <w:r w:rsidR="008D1E5D" w:rsidRPr="00631C1B">
        <w:t xml:space="preserve">activity </w:t>
      </w:r>
      <w:r w:rsidR="00342A0A" w:rsidRPr="00631C1B">
        <w:t>within in their</w:t>
      </w:r>
      <w:r w:rsidR="008D1E5D" w:rsidRPr="00631C1B">
        <w:t xml:space="preserve"> communit</w:t>
      </w:r>
      <w:r w:rsidR="00342A0A" w:rsidRPr="00631C1B">
        <w:t>ies</w:t>
      </w:r>
      <w:r w:rsidR="008D1E5D" w:rsidRPr="00631C1B">
        <w:t xml:space="preserve"> attracted </w:t>
      </w:r>
      <w:r w:rsidR="00300C2E" w:rsidRPr="00631C1B">
        <w:t xml:space="preserve">additional </w:t>
      </w:r>
      <w:r w:rsidR="008D1E5D" w:rsidRPr="00631C1B">
        <w:t xml:space="preserve">footfall </w:t>
      </w:r>
      <w:r w:rsidR="00342A0A" w:rsidRPr="00631C1B">
        <w:t>and</w:t>
      </w:r>
      <w:r w:rsidR="008D1E5D" w:rsidRPr="00631C1B">
        <w:t xml:space="preserve"> attention for other community initiatives</w:t>
      </w:r>
      <w:r w:rsidR="00383CAC" w:rsidRPr="00631C1B">
        <w:t xml:space="preserve">. For example, YTAS delivery partner, </w:t>
      </w:r>
      <w:proofErr w:type="spellStart"/>
      <w:r w:rsidR="00383CAC" w:rsidRPr="00631C1B">
        <w:t>Toonspeak</w:t>
      </w:r>
      <w:proofErr w:type="spellEnd"/>
      <w:r w:rsidR="00383CAC" w:rsidRPr="00631C1B">
        <w:t xml:space="preserve">, shared their outreach plan with their landlords. Collectively they successfully increased footfall into </w:t>
      </w:r>
      <w:r w:rsidR="00C40E03" w:rsidRPr="00631C1B">
        <w:t xml:space="preserve">Glasgow city </w:t>
      </w:r>
      <w:r w:rsidR="00383CAC" w:rsidRPr="00631C1B">
        <w:t xml:space="preserve">centre, having a positive knock on effect in exposing other </w:t>
      </w:r>
      <w:r w:rsidR="00C40E03" w:rsidRPr="00631C1B">
        <w:t xml:space="preserve">community </w:t>
      </w:r>
      <w:r w:rsidR="00383CAC" w:rsidRPr="00631C1B">
        <w:t>programmes taking place</w:t>
      </w:r>
    </w:p>
    <w:p w14:paraId="5FA2BD2E" w14:textId="0292020D" w:rsidR="00755E85" w:rsidRPr="00631C1B" w:rsidRDefault="008774F4" w:rsidP="00755E85">
      <w:pPr>
        <w:pStyle w:val="ListBullet"/>
      </w:pPr>
      <w:r w:rsidRPr="00631C1B">
        <w:lastRenderedPageBreak/>
        <w:t>A ‘cascade effect’</w:t>
      </w:r>
      <w:r w:rsidR="005F2BF8" w:rsidRPr="00631C1B">
        <w:t>, where initial engagements led to follow</w:t>
      </w:r>
      <w:r w:rsidR="003A64FC" w:rsidRPr="00631C1B">
        <w:t>-up</w:t>
      </w:r>
      <w:r w:rsidR="005F2BF8" w:rsidRPr="00631C1B">
        <w:t xml:space="preserve"> </w:t>
      </w:r>
      <w:r w:rsidR="00B44F17" w:rsidRPr="00631C1B">
        <w:t>opportunities elsewhere</w:t>
      </w:r>
      <w:r w:rsidR="005F2BF8" w:rsidRPr="00631C1B">
        <w:t xml:space="preserve">. For example, </w:t>
      </w:r>
      <w:proofErr w:type="spellStart"/>
      <w:r w:rsidR="00B84827" w:rsidRPr="00631C1B">
        <w:t>YDance</w:t>
      </w:r>
      <w:proofErr w:type="spellEnd"/>
      <w:r w:rsidR="00B84827" w:rsidRPr="00631C1B">
        <w:t xml:space="preserve"> w</w:t>
      </w:r>
      <w:r w:rsidR="00755E85" w:rsidRPr="00631C1B">
        <w:t xml:space="preserve">orked successfully in tandem with </w:t>
      </w:r>
      <w:r w:rsidR="005F141B" w:rsidRPr="00631C1B">
        <w:t>their local authority</w:t>
      </w:r>
      <w:r w:rsidR="005A72CC" w:rsidRPr="00631C1B">
        <w:t xml:space="preserve">, </w:t>
      </w:r>
      <w:r w:rsidR="00755E85" w:rsidRPr="00631C1B">
        <w:t xml:space="preserve">where participants graduated onto </w:t>
      </w:r>
      <w:r w:rsidR="005A72CC" w:rsidRPr="00631C1B">
        <w:t xml:space="preserve">programmes </w:t>
      </w:r>
      <w:r w:rsidR="00E75B94" w:rsidRPr="00631C1B">
        <w:t xml:space="preserve">run </w:t>
      </w:r>
      <w:r w:rsidR="005A72CC" w:rsidRPr="00631C1B">
        <w:t xml:space="preserve">by the council’s </w:t>
      </w:r>
      <w:r w:rsidR="00755E85" w:rsidRPr="00631C1B">
        <w:t>Dance Hubs</w:t>
      </w:r>
    </w:p>
    <w:p w14:paraId="3C5EBEE6" w14:textId="36655B67" w:rsidR="00CB7FC3" w:rsidRPr="00631C1B" w:rsidRDefault="00506B55" w:rsidP="00CB7FC3">
      <w:pPr>
        <w:pStyle w:val="ListBullet"/>
      </w:pPr>
      <w:r w:rsidRPr="00631C1B">
        <w:t xml:space="preserve">YTAS spoke of how </w:t>
      </w:r>
      <w:r w:rsidR="00116F10" w:rsidRPr="00631C1B">
        <w:t>the project led to b</w:t>
      </w:r>
      <w:r w:rsidR="00CB7FC3" w:rsidRPr="00631C1B">
        <w:t>etter connected initiatives within local youth work</w:t>
      </w:r>
      <w:r w:rsidR="00E75B94" w:rsidRPr="00631C1B">
        <w:t>. This has led</w:t>
      </w:r>
      <w:r w:rsidR="00CB7FC3" w:rsidRPr="00631C1B">
        <w:t xml:space="preserve"> directly to new referrals, partnerships for new funding</w:t>
      </w:r>
      <w:r w:rsidR="00E75B94" w:rsidRPr="00631C1B">
        <w:t xml:space="preserve">, as well as </w:t>
      </w:r>
      <w:r w:rsidR="00CB7FC3" w:rsidRPr="00631C1B">
        <w:t xml:space="preserve">the </w:t>
      </w:r>
      <w:r w:rsidR="00E75B94" w:rsidRPr="00631C1B">
        <w:t xml:space="preserve">more </w:t>
      </w:r>
      <w:r w:rsidR="00CB7FC3" w:rsidRPr="00631C1B">
        <w:t xml:space="preserve">use of </w:t>
      </w:r>
      <w:r w:rsidR="00FF3C12" w:rsidRPr="00631C1B">
        <w:t xml:space="preserve">local </w:t>
      </w:r>
      <w:r w:rsidR="00CB7FC3" w:rsidRPr="00631C1B">
        <w:t>community venues</w:t>
      </w:r>
      <w:r w:rsidR="00FF3C12" w:rsidRPr="00631C1B">
        <w:t xml:space="preserve"> by young people</w:t>
      </w:r>
    </w:p>
    <w:p w14:paraId="47731748" w14:textId="3AF40239" w:rsidR="009C2437" w:rsidRPr="00631C1B" w:rsidRDefault="00E2491F" w:rsidP="00547363">
      <w:pPr>
        <w:pStyle w:val="ListBullet"/>
      </w:pPr>
      <w:r w:rsidRPr="00631C1B">
        <w:rPr>
          <w:bCs/>
        </w:rPr>
        <w:t xml:space="preserve">There were two overarching mechanisms that successful projects shared in maximising civic value. First, </w:t>
      </w:r>
      <w:r w:rsidR="00C04C22" w:rsidRPr="00631C1B">
        <w:rPr>
          <w:bCs/>
        </w:rPr>
        <w:t xml:space="preserve">they focused explicitly in </w:t>
      </w:r>
      <w:r w:rsidRPr="00631C1B">
        <w:rPr>
          <w:bCs/>
        </w:rPr>
        <w:t>s</w:t>
      </w:r>
      <w:r w:rsidR="008D1E5D" w:rsidRPr="00631C1B">
        <w:t>trengthen</w:t>
      </w:r>
      <w:r w:rsidR="00C04C22" w:rsidRPr="00631C1B">
        <w:t xml:space="preserve">ing </w:t>
      </w:r>
      <w:r w:rsidR="008D1E5D" w:rsidRPr="00631C1B">
        <w:t>the voice of local young people and giv</w:t>
      </w:r>
      <w:r w:rsidRPr="00631C1B">
        <w:t xml:space="preserve">ing </w:t>
      </w:r>
      <w:r w:rsidR="008D1E5D" w:rsidRPr="00631C1B">
        <w:t>them a place within the local creative community</w:t>
      </w:r>
      <w:r w:rsidRPr="00631C1B">
        <w:t>. A</w:t>
      </w:r>
      <w:r w:rsidR="008D1E5D" w:rsidRPr="00631C1B">
        <w:t>dvocacy work</w:t>
      </w:r>
      <w:r w:rsidRPr="00631C1B">
        <w:t xml:space="preserve"> and campaigns were effective in this effort. Second,</w:t>
      </w:r>
      <w:r w:rsidR="008D1E5D" w:rsidRPr="00631C1B">
        <w:t xml:space="preserve"> </w:t>
      </w:r>
      <w:r w:rsidR="00C04C22" w:rsidRPr="00631C1B">
        <w:t xml:space="preserve">they </w:t>
      </w:r>
      <w:r w:rsidR="008D1E5D" w:rsidRPr="00631C1B">
        <w:t>provid</w:t>
      </w:r>
      <w:r w:rsidR="00C04C22" w:rsidRPr="00631C1B">
        <w:t>ed</w:t>
      </w:r>
      <w:r w:rsidR="008D1E5D" w:rsidRPr="00631C1B">
        <w:t xml:space="preserve"> varied and flexible activity, </w:t>
      </w:r>
      <w:r w:rsidR="00F479A2" w:rsidRPr="00631C1B">
        <w:t xml:space="preserve">enabling </w:t>
      </w:r>
      <w:r w:rsidR="008D1E5D" w:rsidRPr="00631C1B">
        <w:t>young people</w:t>
      </w:r>
      <w:r w:rsidR="00F479A2" w:rsidRPr="00631C1B">
        <w:t xml:space="preserve"> with other personal and familial commitments </w:t>
      </w:r>
      <w:r w:rsidR="00C04C22" w:rsidRPr="00631C1B">
        <w:t>to</w:t>
      </w:r>
      <w:r w:rsidR="008D1E5D" w:rsidRPr="00631C1B">
        <w:t xml:space="preserve"> dip in and out</w:t>
      </w:r>
      <w:r w:rsidR="009C2437" w:rsidRPr="00631C1B">
        <w:t xml:space="preserve"> as needed</w:t>
      </w:r>
      <w:r w:rsidR="00F711BB" w:rsidRPr="00631C1B">
        <w:t>.</w:t>
      </w:r>
    </w:p>
    <w:p w14:paraId="1C7F4C45" w14:textId="1E675DBB" w:rsidR="00A40A67" w:rsidRPr="00631C1B" w:rsidRDefault="00A40A67" w:rsidP="00A40A67">
      <w:pPr>
        <w:pStyle w:val="Subheadingnonumber"/>
      </w:pPr>
      <w:r w:rsidRPr="00631C1B">
        <w:t>Key programme learning</w:t>
      </w:r>
    </w:p>
    <w:p w14:paraId="17B392D4" w14:textId="77777777" w:rsidR="00A40A67" w:rsidRPr="00631C1B" w:rsidRDefault="00A40A67" w:rsidP="00A40A67">
      <w:pPr>
        <w:pStyle w:val="ListBullet"/>
      </w:pPr>
      <w:r w:rsidRPr="00631C1B">
        <w:t>Encourage projects to consider devising a ‘community impact’ plan, which will outline which ways they will intend to have a positive effect locally, including any additional partnerships needed</w:t>
      </w:r>
    </w:p>
    <w:p w14:paraId="16348790" w14:textId="1B225AE6" w:rsidR="00A40A67" w:rsidRPr="00631C1B" w:rsidRDefault="00A40A67" w:rsidP="00A40A67">
      <w:pPr>
        <w:pStyle w:val="ListBullet"/>
      </w:pPr>
      <w:r w:rsidRPr="00631C1B">
        <w:t>Consider how funded projects can be made aware of other funded activity in their locality so that community resources and onward referral can be maximised</w:t>
      </w:r>
      <w:r w:rsidR="00167311" w:rsidRPr="00631C1B">
        <w:t>.</w:t>
      </w:r>
    </w:p>
    <w:p w14:paraId="2BF39BD7" w14:textId="27D94B00" w:rsidR="00853EEC" w:rsidRPr="00491AB1" w:rsidRDefault="007B2CE6" w:rsidP="00491AB1">
      <w:pPr>
        <w:pStyle w:val="Heading1"/>
      </w:pPr>
      <w:bookmarkStart w:id="25" w:name="_Toc43980018"/>
      <w:r w:rsidRPr="00491AB1">
        <w:lastRenderedPageBreak/>
        <w:t>B</w:t>
      </w:r>
      <w:r w:rsidR="00853EEC" w:rsidRPr="00491AB1">
        <w:t>uilding capacity and confidence</w:t>
      </w:r>
      <w:bookmarkEnd w:id="25"/>
    </w:p>
    <w:p w14:paraId="0D2B5D76" w14:textId="1E27CEE0" w:rsidR="00DF3C7F" w:rsidRPr="00631C1B" w:rsidRDefault="00DF3C7F" w:rsidP="00547363">
      <w:pPr>
        <w:pStyle w:val="BodyText"/>
        <w:rPr>
          <w:b/>
          <w:bCs/>
        </w:rPr>
      </w:pPr>
      <w:r w:rsidRPr="00631C1B">
        <w:t xml:space="preserve">One of the core outcomes that projects </w:t>
      </w:r>
      <w:r w:rsidR="00E65308" w:rsidRPr="00631C1B">
        <w:t>were</w:t>
      </w:r>
      <w:r w:rsidRPr="00631C1B">
        <w:t xml:space="preserve"> seeking to achieve for participants is an increase in their self-confidence and </w:t>
      </w:r>
      <w:r w:rsidR="00363011" w:rsidRPr="00631C1B">
        <w:t>awareness of further opportunities</w:t>
      </w:r>
      <w:r w:rsidRPr="00631C1B">
        <w:t>. Capacity and confidence in this sense can include the confidence to take part in the first place, as well as the capacity developed through acquiring new skills</w:t>
      </w:r>
      <w:r w:rsidR="00CA4CCD" w:rsidRPr="00631C1B">
        <w:t xml:space="preserve"> </w:t>
      </w:r>
      <w:r w:rsidR="006A0F01" w:rsidRPr="00631C1B">
        <w:t>and trying new things</w:t>
      </w:r>
      <w:r w:rsidRPr="00631C1B">
        <w:t>.</w:t>
      </w:r>
      <w:r w:rsidR="008141F4" w:rsidRPr="00631C1B">
        <w:t xml:space="preserve"> </w:t>
      </w:r>
      <w:r w:rsidRPr="00631C1B">
        <w:t>This section presents overall progress towards the targets and a discussion of the evidence provided by projects in relation to this outcome</w:t>
      </w:r>
      <w:r w:rsidR="002007F9" w:rsidRPr="00631C1B">
        <w:t xml:space="preserve"> in Year </w:t>
      </w:r>
      <w:r w:rsidR="00A53603" w:rsidRPr="00631C1B">
        <w:t>3</w:t>
      </w:r>
      <w:r w:rsidR="00395DFD" w:rsidRPr="00631C1B">
        <w:t>, as well as over the three years.</w:t>
      </w:r>
    </w:p>
    <w:p w14:paraId="443CF9FC" w14:textId="35944E2C" w:rsidR="00853EEC" w:rsidRPr="00631C1B" w:rsidRDefault="006A0F01" w:rsidP="0026458B">
      <w:pPr>
        <w:pStyle w:val="Subheadingnonumber"/>
      </w:pPr>
      <w:r w:rsidRPr="00631C1B">
        <w:t>K</w:t>
      </w:r>
      <w:r w:rsidR="00853EEC" w:rsidRPr="00631C1B">
        <w:t>ey findings</w:t>
      </w:r>
      <w:r w:rsidR="0021346F" w:rsidRPr="00631C1B">
        <w:t xml:space="preserve"> for Year 3</w:t>
      </w:r>
    </w:p>
    <w:p w14:paraId="3DA71A85" w14:textId="5A21F5A2" w:rsidR="00853EEC" w:rsidRPr="00631C1B" w:rsidRDefault="00853EEC" w:rsidP="00853EEC">
      <w:pPr>
        <w:pStyle w:val="BodyText"/>
        <w:rPr>
          <w:b/>
        </w:rPr>
      </w:pPr>
      <w:r w:rsidRPr="00631C1B">
        <w:rPr>
          <w:b/>
        </w:rPr>
        <w:t xml:space="preserve">Targeted </w:t>
      </w:r>
      <w:r w:rsidR="00B144E1" w:rsidRPr="00631C1B">
        <w:rPr>
          <w:b/>
        </w:rPr>
        <w:t>F</w:t>
      </w:r>
      <w:r w:rsidRPr="00631C1B">
        <w:rPr>
          <w:b/>
        </w:rPr>
        <w:t>und</w:t>
      </w:r>
    </w:p>
    <w:p w14:paraId="0A8C01B7" w14:textId="471D22B1" w:rsidR="00800F0F" w:rsidRPr="00631C1B" w:rsidRDefault="2A1DFB4F" w:rsidP="00F4069F">
      <w:pPr>
        <w:pStyle w:val="ListBullet"/>
      </w:pPr>
      <w:r w:rsidRPr="00631C1B">
        <w:t xml:space="preserve">Increased levels of capacity and confidence were reported across all the </w:t>
      </w:r>
      <w:r w:rsidR="003F2CE6" w:rsidRPr="00631C1B">
        <w:t xml:space="preserve">Targeted Fund </w:t>
      </w:r>
      <w:r w:rsidRPr="00631C1B">
        <w:t>projects</w:t>
      </w:r>
      <w:r w:rsidR="00271758" w:rsidRPr="00631C1B">
        <w:t>, with most organis</w:t>
      </w:r>
      <w:r w:rsidR="00A7430B" w:rsidRPr="00631C1B">
        <w:t>ations</w:t>
      </w:r>
      <w:r w:rsidR="00271758" w:rsidRPr="00631C1B">
        <w:t xml:space="preserve"> meeting their </w:t>
      </w:r>
      <w:r w:rsidR="00A7430B" w:rsidRPr="00631C1B">
        <w:t xml:space="preserve">Year 3 </w:t>
      </w:r>
      <w:r w:rsidR="00271758" w:rsidRPr="00631C1B">
        <w:t>annual target</w:t>
      </w:r>
      <w:r w:rsidRPr="00631C1B">
        <w:t xml:space="preserve">. </w:t>
      </w:r>
      <w:r w:rsidR="000C6C7E" w:rsidRPr="00631C1B">
        <w:t>S</w:t>
      </w:r>
      <w:r w:rsidRPr="00631C1B">
        <w:t>tandout examples include</w:t>
      </w:r>
      <w:r w:rsidR="00A66294" w:rsidRPr="00631C1B">
        <w:t>d</w:t>
      </w:r>
      <w:r w:rsidRPr="00631C1B">
        <w:t xml:space="preserve"> </w:t>
      </w:r>
      <w:proofErr w:type="spellStart"/>
      <w:r w:rsidR="00486009" w:rsidRPr="00631C1B">
        <w:t>YDance</w:t>
      </w:r>
      <w:proofErr w:type="spellEnd"/>
      <w:r w:rsidR="00931229" w:rsidRPr="00631C1B">
        <w:t>, who</w:t>
      </w:r>
      <w:r w:rsidR="006476F4" w:rsidRPr="00631C1B">
        <w:t xml:space="preserve"> </w:t>
      </w:r>
      <w:r w:rsidR="00931229" w:rsidRPr="00631C1B">
        <w:t>successfully</w:t>
      </w:r>
      <w:r w:rsidR="006476F4" w:rsidRPr="00631C1B">
        <w:t xml:space="preserve"> </w:t>
      </w:r>
      <w:r w:rsidRPr="00631C1B">
        <w:t>increased confidenc</w:t>
      </w:r>
      <w:r w:rsidR="005C28AD" w:rsidRPr="00631C1B">
        <w:t>e</w:t>
      </w:r>
      <w:r w:rsidR="006476F4" w:rsidRPr="00631C1B">
        <w:t xml:space="preserve"> in 2</w:t>
      </w:r>
      <w:r w:rsidR="00536DCA" w:rsidRPr="00631C1B">
        <w:t>83 of their 303</w:t>
      </w:r>
      <w:r w:rsidR="00931229" w:rsidRPr="00631C1B">
        <w:t xml:space="preserve"> participants, accounting for 93%</w:t>
      </w:r>
    </w:p>
    <w:p w14:paraId="7C3A28A9" w14:textId="4FA0A3AD" w:rsidR="002371D7" w:rsidRPr="00631C1B" w:rsidRDefault="2A1DFB4F" w:rsidP="00F4069F">
      <w:pPr>
        <w:pStyle w:val="ListBullet"/>
      </w:pPr>
      <w:r w:rsidRPr="00631C1B">
        <w:t xml:space="preserve">Positive outcomes </w:t>
      </w:r>
      <w:r w:rsidR="00C25E0F" w:rsidRPr="00631C1B">
        <w:t xml:space="preserve">relating to confidence </w:t>
      </w:r>
      <w:r w:rsidRPr="00631C1B">
        <w:t xml:space="preserve">were gained </w:t>
      </w:r>
      <w:r w:rsidR="004D3FCD" w:rsidRPr="00631C1B">
        <w:t>through</w:t>
      </w:r>
      <w:r w:rsidR="00E5123D" w:rsidRPr="00631C1B">
        <w:t xml:space="preserve"> participants</w:t>
      </w:r>
      <w:r w:rsidRPr="00631C1B">
        <w:t xml:space="preserve"> </w:t>
      </w:r>
      <w:r w:rsidR="005231F2" w:rsidRPr="00631C1B">
        <w:t xml:space="preserve">building connections with </w:t>
      </w:r>
      <w:r w:rsidR="001B5A30" w:rsidRPr="00631C1B">
        <w:t xml:space="preserve">other participants, as well as tutors. Being able to share </w:t>
      </w:r>
      <w:r w:rsidRPr="00631C1B">
        <w:t xml:space="preserve">their work </w:t>
      </w:r>
      <w:r w:rsidR="00C359D6" w:rsidRPr="00631C1B">
        <w:t xml:space="preserve">with others </w:t>
      </w:r>
      <w:r w:rsidRPr="00631C1B">
        <w:t>and receiv</w:t>
      </w:r>
      <w:r w:rsidR="001B5A30" w:rsidRPr="00631C1B">
        <w:t>e</w:t>
      </w:r>
      <w:r w:rsidRPr="00631C1B">
        <w:t xml:space="preserve"> feedback</w:t>
      </w:r>
      <w:r w:rsidR="001B5A30" w:rsidRPr="00631C1B">
        <w:t xml:space="preserve"> helped them to</w:t>
      </w:r>
      <w:r w:rsidR="00942A17" w:rsidRPr="00631C1B">
        <w:t xml:space="preserve"> recognise their own successes</w:t>
      </w:r>
      <w:r w:rsidR="00DC419F" w:rsidRPr="00631C1B">
        <w:t>,</w:t>
      </w:r>
      <w:r w:rsidR="00942A17" w:rsidRPr="00631C1B">
        <w:t xml:space="preserve"> however slight. </w:t>
      </w:r>
      <w:r w:rsidR="00641CBD" w:rsidRPr="00631C1B">
        <w:t xml:space="preserve">One to one </w:t>
      </w:r>
      <w:r w:rsidR="00DC419F" w:rsidRPr="00631C1B">
        <w:t>support</w:t>
      </w:r>
      <w:r w:rsidR="002371D7" w:rsidRPr="00631C1B">
        <w:t xml:space="preserve"> </w:t>
      </w:r>
      <w:r w:rsidR="00F4531D" w:rsidRPr="00631C1B">
        <w:t>was</w:t>
      </w:r>
      <w:r w:rsidR="002371D7" w:rsidRPr="00631C1B">
        <w:t xml:space="preserve"> particularly effective in this, enabling a more in-depth reflection and honesty</w:t>
      </w:r>
      <w:r w:rsidR="00F90310" w:rsidRPr="00631C1B">
        <w:t xml:space="preserve"> than can sometimes be achieved in peer groups</w:t>
      </w:r>
      <w:r w:rsidR="00FD6007" w:rsidRPr="00631C1B">
        <w:t xml:space="preserve">. Furthermore, it </w:t>
      </w:r>
      <w:proofErr w:type="gramStart"/>
      <w:r w:rsidR="00FD6007" w:rsidRPr="00631C1B">
        <w:t>was seen as</w:t>
      </w:r>
      <w:proofErr w:type="gramEnd"/>
      <w:r w:rsidR="00FD6007" w:rsidRPr="00631C1B">
        <w:t xml:space="preserve"> critical that the tutors facilitated ‘safe spaces’ where the young people felt welcomed and </w:t>
      </w:r>
      <w:r w:rsidR="00E173EF" w:rsidRPr="00631C1B">
        <w:t>confident,</w:t>
      </w:r>
      <w:r w:rsidR="001C0703" w:rsidRPr="00631C1B">
        <w:t xml:space="preserve"> where</w:t>
      </w:r>
      <w:r w:rsidR="00FD6007" w:rsidRPr="00631C1B">
        <w:t xml:space="preserve"> they would be listened to without judgement</w:t>
      </w:r>
    </w:p>
    <w:p w14:paraId="642F125A" w14:textId="0D83177A" w:rsidR="00A1086F" w:rsidRPr="00631C1B" w:rsidRDefault="00DC419F" w:rsidP="009A3F2B">
      <w:pPr>
        <w:pStyle w:val="ListBullet"/>
      </w:pPr>
      <w:r w:rsidRPr="00631C1B">
        <w:t xml:space="preserve">There were </w:t>
      </w:r>
      <w:r w:rsidR="00347396" w:rsidRPr="00631C1B">
        <w:t xml:space="preserve">two </w:t>
      </w:r>
      <w:r w:rsidRPr="00631C1B">
        <w:t>overarching challenges underlying building capacity and confidence</w:t>
      </w:r>
      <w:r w:rsidR="008C67A0" w:rsidRPr="00631C1B">
        <w:t xml:space="preserve"> in the young participants</w:t>
      </w:r>
      <w:r w:rsidRPr="00631C1B">
        <w:t>. First,</w:t>
      </w:r>
      <w:r w:rsidR="001A4739" w:rsidRPr="00631C1B">
        <w:t xml:space="preserve"> being able to </w:t>
      </w:r>
      <w:r w:rsidRPr="00631C1B">
        <w:t xml:space="preserve">consistently </w:t>
      </w:r>
      <w:r w:rsidR="001A4739" w:rsidRPr="00631C1B">
        <w:t xml:space="preserve">resource </w:t>
      </w:r>
      <w:r w:rsidR="00E03B37" w:rsidRPr="00631C1B">
        <w:t>one to ones</w:t>
      </w:r>
      <w:r w:rsidR="001A4739" w:rsidRPr="00631C1B">
        <w:t xml:space="preserve"> to all</w:t>
      </w:r>
      <w:r w:rsidR="006D2CAC" w:rsidRPr="00631C1B">
        <w:t xml:space="preserve"> </w:t>
      </w:r>
      <w:r w:rsidR="001A4739" w:rsidRPr="00631C1B">
        <w:t>participants</w:t>
      </w:r>
      <w:r w:rsidR="006D2CAC" w:rsidRPr="00631C1B">
        <w:t xml:space="preserve"> who needed it</w:t>
      </w:r>
      <w:r w:rsidR="00073EA4" w:rsidRPr="00631C1B">
        <w:t xml:space="preserve">. </w:t>
      </w:r>
      <w:r w:rsidR="003A07CF" w:rsidRPr="00631C1B">
        <w:t>Ambitious</w:t>
      </w:r>
      <w:r w:rsidR="00B0045B" w:rsidRPr="00631C1B">
        <w:t xml:space="preserve"> participation targets and rotation of staff meant that there wasn’t </w:t>
      </w:r>
      <w:r w:rsidR="003A07CF" w:rsidRPr="00631C1B">
        <w:t xml:space="preserve">always </w:t>
      </w:r>
      <w:r w:rsidR="00B0045B" w:rsidRPr="00631C1B">
        <w:t>enough funding</w:t>
      </w:r>
      <w:r w:rsidR="006D2CAC" w:rsidRPr="00631C1B">
        <w:t xml:space="preserve">, capacity </w:t>
      </w:r>
      <w:r w:rsidR="00B0045B" w:rsidRPr="00631C1B">
        <w:t>or time</w:t>
      </w:r>
      <w:r w:rsidR="006D2CAC" w:rsidRPr="00631C1B">
        <w:t xml:space="preserve"> allocation</w:t>
      </w:r>
      <w:r w:rsidR="00B0045B" w:rsidRPr="00631C1B">
        <w:t xml:space="preserve"> to guarantee all </w:t>
      </w:r>
      <w:r w:rsidR="006D2CAC" w:rsidRPr="00631C1B">
        <w:t>participants</w:t>
      </w:r>
      <w:r w:rsidR="00B0045B" w:rsidRPr="00631C1B">
        <w:t xml:space="preserve"> independent </w:t>
      </w:r>
      <w:r w:rsidR="003A07CF" w:rsidRPr="00631C1B">
        <w:t xml:space="preserve">support. </w:t>
      </w:r>
      <w:r w:rsidR="00073EA4" w:rsidRPr="00631C1B">
        <w:t xml:space="preserve">Second, </w:t>
      </w:r>
      <w:r w:rsidR="00405C24" w:rsidRPr="00631C1B">
        <w:t xml:space="preserve">ensuring that </w:t>
      </w:r>
      <w:r w:rsidR="003A07CF" w:rsidRPr="00631C1B">
        <w:t>p</w:t>
      </w:r>
      <w:r w:rsidR="001A4739" w:rsidRPr="00631C1B">
        <w:t>articipants</w:t>
      </w:r>
      <w:r w:rsidR="00405C24" w:rsidRPr="00631C1B">
        <w:t xml:space="preserve"> take</w:t>
      </w:r>
      <w:r w:rsidR="001A4739" w:rsidRPr="00631C1B">
        <w:t xml:space="preserve"> part in </w:t>
      </w:r>
      <w:r w:rsidR="00D926E3" w:rsidRPr="00631C1B">
        <w:t xml:space="preserve">the </w:t>
      </w:r>
      <w:r w:rsidR="00A41A1B" w:rsidRPr="00631C1B">
        <w:t xml:space="preserve">follow-up </w:t>
      </w:r>
      <w:r w:rsidR="00736E45">
        <w:t>monitoring and evaluation</w:t>
      </w:r>
      <w:r w:rsidR="00A41A1B" w:rsidRPr="00631C1B">
        <w:t xml:space="preserve"> activity</w:t>
      </w:r>
      <w:r w:rsidR="00D926E3" w:rsidRPr="00631C1B">
        <w:t xml:space="preserve">. This meant that successes and </w:t>
      </w:r>
      <w:r w:rsidR="00D926E3" w:rsidRPr="00631C1B">
        <w:t xml:space="preserve">incremental </w:t>
      </w:r>
      <w:r w:rsidR="001A4739" w:rsidRPr="00631C1B">
        <w:t xml:space="preserve">value added </w:t>
      </w:r>
      <w:r w:rsidR="00405C24" w:rsidRPr="00631C1B">
        <w:t xml:space="preserve">wasn’t always possible </w:t>
      </w:r>
      <w:r w:rsidR="001A4739" w:rsidRPr="00631C1B">
        <w:t>to evidence</w:t>
      </w:r>
      <w:r w:rsidR="00D926E3" w:rsidRPr="00631C1B">
        <w:t>,</w:t>
      </w:r>
      <w:r w:rsidR="001A4739" w:rsidRPr="00631C1B">
        <w:t xml:space="preserve"> even when known</w:t>
      </w:r>
      <w:r w:rsidR="00D926E3" w:rsidRPr="00631C1B">
        <w:t>)</w:t>
      </w:r>
      <w:r w:rsidR="00073EA4" w:rsidRPr="00631C1B">
        <w:t xml:space="preserve">. </w:t>
      </w:r>
      <w:r w:rsidR="002D48A4" w:rsidRPr="00631C1B">
        <w:t xml:space="preserve">Many of the projects plan to focus more on </w:t>
      </w:r>
      <w:r w:rsidR="001A4739" w:rsidRPr="00631C1B">
        <w:t>non</w:t>
      </w:r>
      <w:r w:rsidR="00073EA4" w:rsidRPr="00631C1B">
        <w:t>-</w:t>
      </w:r>
      <w:r w:rsidR="001A4739" w:rsidRPr="00631C1B">
        <w:t>intrusive</w:t>
      </w:r>
      <w:r w:rsidR="005A79C2" w:rsidRPr="00631C1B">
        <w:t>, but meaningful,</w:t>
      </w:r>
      <w:r w:rsidR="002D48A4" w:rsidRPr="00631C1B">
        <w:t xml:space="preserve"> evaluation </w:t>
      </w:r>
      <w:r w:rsidR="00073EA4" w:rsidRPr="00631C1B">
        <w:t>approach</w:t>
      </w:r>
      <w:r w:rsidR="002D48A4" w:rsidRPr="00631C1B">
        <w:t>es in their future programming</w:t>
      </w:r>
      <w:r w:rsidR="00073EA4" w:rsidRPr="00631C1B">
        <w:t>.</w:t>
      </w:r>
      <w:r w:rsidR="003B2F56" w:rsidRPr="00631C1B">
        <w:t xml:space="preserve"> </w:t>
      </w:r>
    </w:p>
    <w:p w14:paraId="4F841397" w14:textId="42B7CA6D" w:rsidR="005302E5" w:rsidRPr="00631C1B" w:rsidRDefault="005302E5" w:rsidP="005302E5">
      <w:pPr>
        <w:pStyle w:val="Quotesmall"/>
      </w:pPr>
      <w:r w:rsidRPr="00631C1B">
        <w:tab/>
      </w:r>
      <w:r w:rsidRPr="00631C1B">
        <w:rPr>
          <w:noProof/>
          <w:lang w:eastAsia="en-GB"/>
        </w:rPr>
        <w:drawing>
          <wp:inline distT="0" distB="0" distL="0" distR="0" wp14:anchorId="18F06897" wp14:editId="59E92F70">
            <wp:extent cx="197640" cy="156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r>
      <w:r w:rsidR="000F0672" w:rsidRPr="00631C1B">
        <w:t>The interconnectedness of Hot Chocolate’s programmes and activities</w:t>
      </w:r>
      <w:r w:rsidRPr="00631C1B">
        <w:t xml:space="preserve"> have enabled young people to feel a sense of safety and belonging, and </w:t>
      </w:r>
      <w:proofErr w:type="spellStart"/>
      <w:r w:rsidR="00281FAF" w:rsidRPr="00631C1B">
        <w:t>CashBack</w:t>
      </w:r>
      <w:proofErr w:type="spellEnd"/>
      <w:r w:rsidRPr="00631C1B">
        <w:t xml:space="preserve"> projects have enabled a gateway to that wider network of opportunity, community, and support.</w:t>
      </w:r>
    </w:p>
    <w:p w14:paraId="7AFD43A2" w14:textId="230BCE93" w:rsidR="005302E5" w:rsidRPr="00631C1B" w:rsidRDefault="000F0672" w:rsidP="00EB1C5B">
      <w:pPr>
        <w:pStyle w:val="Quotesmall"/>
        <w:numPr>
          <w:ilvl w:val="0"/>
          <w:numId w:val="5"/>
        </w:numPr>
        <w:jc w:val="right"/>
      </w:pPr>
      <w:r w:rsidRPr="00631C1B">
        <w:t>Hot Chocolate (Targeted Fund)</w:t>
      </w:r>
    </w:p>
    <w:p w14:paraId="054C6602" w14:textId="5BD8EC10" w:rsidR="00853EEC" w:rsidRPr="00631C1B" w:rsidRDefault="00853EEC" w:rsidP="00853EEC">
      <w:pPr>
        <w:pStyle w:val="BodyText"/>
        <w:rPr>
          <w:b/>
        </w:rPr>
      </w:pPr>
      <w:r w:rsidRPr="00631C1B">
        <w:rPr>
          <w:b/>
        </w:rPr>
        <w:t>Open Fund</w:t>
      </w:r>
    </w:p>
    <w:p w14:paraId="256049A1" w14:textId="758A59F4" w:rsidR="0005021B" w:rsidRPr="00631C1B" w:rsidRDefault="00B02E58" w:rsidP="00BE58C5">
      <w:pPr>
        <w:pStyle w:val="ListBullet"/>
      </w:pPr>
      <w:r w:rsidRPr="00631C1B">
        <w:t>Most</w:t>
      </w:r>
      <w:r w:rsidR="00E82422" w:rsidRPr="00631C1B">
        <w:t xml:space="preserve"> Open Fund organisations </w:t>
      </w:r>
      <w:r w:rsidR="00BD4EAB" w:rsidRPr="00631C1B">
        <w:t xml:space="preserve">reported that </w:t>
      </w:r>
      <w:r w:rsidR="00E82422" w:rsidRPr="00631C1B">
        <w:t xml:space="preserve">participants </w:t>
      </w:r>
      <w:r w:rsidR="00BD4EAB" w:rsidRPr="00631C1B">
        <w:t xml:space="preserve">trying new things regularly led to new skills and </w:t>
      </w:r>
      <w:r w:rsidRPr="00631C1B">
        <w:t>achievements</w:t>
      </w:r>
      <w:r w:rsidR="001160EE" w:rsidRPr="00631C1B">
        <w:t>.</w:t>
      </w:r>
      <w:r w:rsidR="003F78B4" w:rsidRPr="00631C1B">
        <w:t xml:space="preserve"> The challenge</w:t>
      </w:r>
      <w:r w:rsidR="00C0517A" w:rsidRPr="00631C1B">
        <w:t xml:space="preserve"> for</w:t>
      </w:r>
      <w:r w:rsidR="00F006F3" w:rsidRPr="00631C1B">
        <w:t xml:space="preserve"> these projects </w:t>
      </w:r>
      <w:r w:rsidR="003F78B4" w:rsidRPr="00631C1B">
        <w:t xml:space="preserve">was </w:t>
      </w:r>
      <w:r w:rsidR="00D12DDA" w:rsidRPr="00631C1B">
        <w:t xml:space="preserve">motivating </w:t>
      </w:r>
      <w:r w:rsidR="003F78B4" w:rsidRPr="00631C1B">
        <w:t>the young people to ‘give it a go’ in the first instance.</w:t>
      </w:r>
      <w:r w:rsidR="001160EE" w:rsidRPr="00631C1B">
        <w:t xml:space="preserve"> From this</w:t>
      </w:r>
      <w:r w:rsidR="003F78B4" w:rsidRPr="00631C1B">
        <w:t xml:space="preserve">, </w:t>
      </w:r>
      <w:r w:rsidR="001160EE" w:rsidRPr="00631C1B">
        <w:t xml:space="preserve">the young people </w:t>
      </w:r>
      <w:r w:rsidR="001331E6" w:rsidRPr="00631C1B">
        <w:t xml:space="preserve">gained </w:t>
      </w:r>
      <w:r w:rsidR="001160EE" w:rsidRPr="00631C1B">
        <w:t>confiden</w:t>
      </w:r>
      <w:r w:rsidR="001331E6" w:rsidRPr="00631C1B">
        <w:t>ce</w:t>
      </w:r>
      <w:r w:rsidR="001160EE" w:rsidRPr="00631C1B">
        <w:t xml:space="preserve"> in their abilities </w:t>
      </w:r>
      <w:r w:rsidRPr="00631C1B">
        <w:t xml:space="preserve">and </w:t>
      </w:r>
      <w:r w:rsidR="001331E6" w:rsidRPr="00631C1B">
        <w:t xml:space="preserve">their </w:t>
      </w:r>
      <w:r w:rsidRPr="00631C1B">
        <w:t>capacity to</w:t>
      </w:r>
      <w:r w:rsidR="001331E6" w:rsidRPr="00631C1B">
        <w:t xml:space="preserve"> (successfully)</w:t>
      </w:r>
      <w:r w:rsidRPr="00631C1B">
        <w:t xml:space="preserve"> try other new things</w:t>
      </w:r>
      <w:r w:rsidR="001331E6" w:rsidRPr="00631C1B">
        <w:t xml:space="preserve"> in the future</w:t>
      </w:r>
      <w:r w:rsidR="00557CE1" w:rsidRPr="00631C1B">
        <w:t xml:space="preserve">. Role models and guest speakers were an effective </w:t>
      </w:r>
      <w:r w:rsidR="00C72BCD" w:rsidRPr="00631C1B">
        <w:t>approach to encourage participants to try it for themselves</w:t>
      </w:r>
    </w:p>
    <w:p w14:paraId="163907CD" w14:textId="4F4515DC" w:rsidR="00BE58C5" w:rsidRPr="00631C1B" w:rsidRDefault="00E173EF" w:rsidP="00BE58C5">
      <w:pPr>
        <w:pStyle w:val="ListBullet"/>
      </w:pPr>
      <w:r w:rsidRPr="00631C1B">
        <w:t xml:space="preserve">Successful projects were able to build </w:t>
      </w:r>
      <w:r w:rsidR="00BE58C5" w:rsidRPr="00631C1B">
        <w:t xml:space="preserve">confidence and capacity through </w:t>
      </w:r>
      <w:r w:rsidRPr="00631C1B">
        <w:t xml:space="preserve">providing the </w:t>
      </w:r>
      <w:r w:rsidR="00BE58C5" w:rsidRPr="00631C1B">
        <w:t xml:space="preserve">opportunity for young people to work </w:t>
      </w:r>
      <w:r w:rsidR="0086175A" w:rsidRPr="00631C1B">
        <w:t>within small teams to collectively create work</w:t>
      </w:r>
      <w:r w:rsidR="005F4F96" w:rsidRPr="00631C1B">
        <w:t xml:space="preserve"> within a safe and relaxed environment</w:t>
      </w:r>
      <w:r w:rsidR="00385F3A" w:rsidRPr="00631C1B">
        <w:t xml:space="preserve">. </w:t>
      </w:r>
      <w:r w:rsidR="006B0791" w:rsidRPr="00631C1B">
        <w:t>Some</w:t>
      </w:r>
      <w:r w:rsidR="00F07AF4" w:rsidRPr="00631C1B">
        <w:t xml:space="preserve"> pro</w:t>
      </w:r>
      <w:r w:rsidRPr="00631C1B">
        <w:t>ject</w:t>
      </w:r>
      <w:r w:rsidR="006B0791" w:rsidRPr="00631C1B">
        <w:t>s reported how</w:t>
      </w:r>
      <w:r w:rsidRPr="00631C1B">
        <w:t xml:space="preserve"> </w:t>
      </w:r>
      <w:r w:rsidR="00F07AF4" w:rsidRPr="00631C1B">
        <w:t xml:space="preserve">this </w:t>
      </w:r>
      <w:r w:rsidR="005F4F96" w:rsidRPr="00631C1B">
        <w:t xml:space="preserve">allowed </w:t>
      </w:r>
      <w:r w:rsidR="006B0791" w:rsidRPr="00631C1B">
        <w:t>participants</w:t>
      </w:r>
      <w:r w:rsidR="005F4F96" w:rsidRPr="00631C1B">
        <w:t xml:space="preserve"> to </w:t>
      </w:r>
      <w:r w:rsidR="003E06ED" w:rsidRPr="00631C1B">
        <w:t>work with others like themselves</w:t>
      </w:r>
      <w:r w:rsidRPr="00631C1B">
        <w:t>,</w:t>
      </w:r>
      <w:r w:rsidR="003E06ED" w:rsidRPr="00631C1B">
        <w:t xml:space="preserve"> and be supported by experts to express themselves freely, without</w:t>
      </w:r>
      <w:r w:rsidR="00BE58C5" w:rsidRPr="00631C1B">
        <w:t xml:space="preserve"> judgement</w:t>
      </w:r>
    </w:p>
    <w:p w14:paraId="53A97F35" w14:textId="6E6D76FE" w:rsidR="003425E8" w:rsidRPr="00631C1B" w:rsidRDefault="00FB0457" w:rsidP="00F4069F">
      <w:pPr>
        <w:pStyle w:val="ListBullet"/>
      </w:pPr>
      <w:r w:rsidRPr="00631C1B">
        <w:t xml:space="preserve">The opportunity for participants to feed directly into the </w:t>
      </w:r>
      <w:r w:rsidR="004F67F6" w:rsidRPr="00631C1B">
        <w:t xml:space="preserve">design and execution of the activities was </w:t>
      </w:r>
      <w:r w:rsidR="00414990" w:rsidRPr="00631C1B">
        <w:t>effective</w:t>
      </w:r>
      <w:r w:rsidR="004F67F6" w:rsidRPr="00631C1B">
        <w:t xml:space="preserve"> in empowering the young people </w:t>
      </w:r>
      <w:r w:rsidR="00C81CD7" w:rsidRPr="00631C1B">
        <w:t xml:space="preserve">and making them feel valued </w:t>
      </w:r>
      <w:r w:rsidR="00414990" w:rsidRPr="00631C1B">
        <w:t xml:space="preserve">and owning their own development </w:t>
      </w:r>
      <w:r w:rsidR="00C81CD7" w:rsidRPr="00631C1B">
        <w:t>(e.g. Modo-Circus with Purpose)</w:t>
      </w:r>
    </w:p>
    <w:p w14:paraId="179BEF77" w14:textId="1E845046" w:rsidR="00EF7E0E" w:rsidRPr="00631C1B" w:rsidRDefault="00031CA7" w:rsidP="009A3F2B">
      <w:pPr>
        <w:pStyle w:val="ListBullet"/>
      </w:pPr>
      <w:r w:rsidRPr="00631C1B">
        <w:t>Similarly, t</w:t>
      </w:r>
      <w:r w:rsidR="2A1DFB4F" w:rsidRPr="00631C1B">
        <w:t xml:space="preserve">he opportunity to create physical work </w:t>
      </w:r>
      <w:r w:rsidRPr="00631C1B">
        <w:t>that</w:t>
      </w:r>
      <w:r w:rsidR="2A1DFB4F" w:rsidRPr="00631C1B">
        <w:t xml:space="preserve"> could then be exhibited or performed</w:t>
      </w:r>
      <w:r w:rsidRPr="00631C1B">
        <w:t>,</w:t>
      </w:r>
      <w:r w:rsidR="2A1DFB4F" w:rsidRPr="00631C1B">
        <w:t xml:space="preserve"> inspired the young people to believe in themselves and view themselves </w:t>
      </w:r>
      <w:r w:rsidR="0060336C" w:rsidRPr="00631C1B">
        <w:t xml:space="preserve">and their abilities </w:t>
      </w:r>
      <w:r w:rsidR="2A1DFB4F" w:rsidRPr="00631C1B">
        <w:t>as valuable</w:t>
      </w:r>
      <w:r w:rsidR="0040557C" w:rsidRPr="00631C1B">
        <w:t xml:space="preserve"> (e.g. TD1 Music Project)</w:t>
      </w:r>
      <w:r w:rsidR="0060336C" w:rsidRPr="00631C1B">
        <w:t>.</w:t>
      </w:r>
    </w:p>
    <w:p w14:paraId="543E7422" w14:textId="2D231469" w:rsidR="00EF7E0E" w:rsidRPr="00631C1B" w:rsidRDefault="00EF7E0E" w:rsidP="009A3F2B">
      <w:pPr>
        <w:pStyle w:val="Quotesmall"/>
      </w:pPr>
      <w:r w:rsidRPr="00631C1B">
        <w:lastRenderedPageBreak/>
        <w:tab/>
      </w:r>
      <w:r w:rsidRPr="00631C1B">
        <w:rPr>
          <w:noProof/>
          <w:lang w:eastAsia="en-GB"/>
        </w:rPr>
        <w:drawing>
          <wp:inline distT="0" distB="0" distL="0" distR="0" wp14:anchorId="7AFA1643" wp14:editId="67350757">
            <wp:extent cx="197640" cy="1569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r>
      <w:r w:rsidR="00600B20" w:rsidRPr="00631C1B">
        <w:t>Here is not like school</w:t>
      </w:r>
      <w:r w:rsidR="00575F6E" w:rsidRPr="00631C1B">
        <w:t>,</w:t>
      </w:r>
      <w:r w:rsidR="00600B20" w:rsidRPr="00631C1B">
        <w:t xml:space="preserve"> we can work at our own pace, on our own project, choose to engage with other’s if we want to and the makerspace is a cool and inspiring place.</w:t>
      </w:r>
    </w:p>
    <w:p w14:paraId="3A547DBE" w14:textId="4D197E24" w:rsidR="00EF7E0E" w:rsidRPr="00631C1B" w:rsidRDefault="00600B20" w:rsidP="009A3F2B">
      <w:pPr>
        <w:pStyle w:val="Quotesmall"/>
        <w:ind w:left="0" w:firstLine="0"/>
        <w:jc w:val="right"/>
      </w:pPr>
      <w:r w:rsidRPr="00631C1B">
        <w:t>Participant, M-Tech Paisley project by the YMCA (Open Fund)</w:t>
      </w:r>
    </w:p>
    <w:p w14:paraId="133E1E03" w14:textId="42C983BD" w:rsidR="0021346F" w:rsidRPr="00631C1B" w:rsidRDefault="0021346F" w:rsidP="0021346F">
      <w:pPr>
        <w:pStyle w:val="Subheadingnonumber"/>
      </w:pPr>
      <w:r w:rsidRPr="00631C1B">
        <w:t xml:space="preserve">Key findings for </w:t>
      </w:r>
      <w:r w:rsidR="00B144E1" w:rsidRPr="00631C1B">
        <w:t xml:space="preserve">Targeted Fund across </w:t>
      </w:r>
      <w:r w:rsidRPr="00631C1B">
        <w:t>all years</w:t>
      </w:r>
    </w:p>
    <w:p w14:paraId="551661C1" w14:textId="57A8DD1D" w:rsidR="00D91C81" w:rsidRPr="00631C1B" w:rsidRDefault="00D91C81" w:rsidP="00EB1C5B">
      <w:pPr>
        <w:pStyle w:val="ListBullet"/>
      </w:pPr>
      <w:r w:rsidRPr="00631C1B">
        <w:t xml:space="preserve">By the end of the programme, </w:t>
      </w:r>
      <w:r w:rsidR="001C6B64" w:rsidRPr="00631C1B">
        <w:t>most</w:t>
      </w:r>
      <w:r w:rsidR="00515C9E" w:rsidRPr="00631C1B">
        <w:t xml:space="preserve"> projects had either </w:t>
      </w:r>
      <w:r w:rsidRPr="00631C1B">
        <w:t>met or surpas</w:t>
      </w:r>
      <w:r w:rsidR="00515C9E" w:rsidRPr="00631C1B">
        <w:t>s</w:t>
      </w:r>
      <w:r w:rsidRPr="00631C1B">
        <w:t xml:space="preserve">ed </w:t>
      </w:r>
      <w:r w:rsidR="00515C9E" w:rsidRPr="00631C1B">
        <w:t>their t</w:t>
      </w:r>
      <w:r w:rsidRPr="00631C1B">
        <w:t>arget</w:t>
      </w:r>
      <w:r w:rsidR="00EA2EEC" w:rsidRPr="00631C1B">
        <w:t xml:space="preserve">. Specific success </w:t>
      </w:r>
      <w:r w:rsidR="001C6B64" w:rsidRPr="00631C1B">
        <w:t>was</w:t>
      </w:r>
      <w:r w:rsidR="00EA2EEC" w:rsidRPr="00631C1B">
        <w:t xml:space="preserve"> achieve</w:t>
      </w:r>
      <w:r w:rsidR="00276B98" w:rsidRPr="00631C1B">
        <w:t>d</w:t>
      </w:r>
      <w:r w:rsidR="00EA2EEC" w:rsidRPr="00631C1B">
        <w:t xml:space="preserve"> in encouraging participants to</w:t>
      </w:r>
      <w:r w:rsidRPr="00631C1B">
        <w:t xml:space="preserve"> try someth</w:t>
      </w:r>
      <w:r w:rsidR="00EA2EEC" w:rsidRPr="00631C1B">
        <w:t>ing new, which</w:t>
      </w:r>
      <w:r w:rsidR="00276B98" w:rsidRPr="00631C1B">
        <w:t xml:space="preserve"> was</w:t>
      </w:r>
      <w:r w:rsidR="00DF74BD" w:rsidRPr="00631C1B">
        <w:t xml:space="preserve"> often considered</w:t>
      </w:r>
      <w:r w:rsidR="00EA2EEC" w:rsidRPr="00631C1B">
        <w:t xml:space="preserve"> a </w:t>
      </w:r>
      <w:r w:rsidRPr="00631C1B">
        <w:t>big achievement in itself</w:t>
      </w:r>
    </w:p>
    <w:p w14:paraId="56B11C6D" w14:textId="38398C84" w:rsidR="00D91C81" w:rsidRPr="00631C1B" w:rsidRDefault="00EA2EEC" w:rsidP="00D91C81">
      <w:pPr>
        <w:pStyle w:val="ListBullet"/>
      </w:pPr>
      <w:r w:rsidRPr="00631C1B">
        <w:t xml:space="preserve">In some specific cases, </w:t>
      </w:r>
      <w:r w:rsidR="002C4C0A" w:rsidRPr="00631C1B">
        <w:t>projects were not able to meet their overall</w:t>
      </w:r>
      <w:r w:rsidR="00D91C81" w:rsidRPr="00631C1B">
        <w:t xml:space="preserve"> participation</w:t>
      </w:r>
      <w:r w:rsidR="002C4C0A" w:rsidRPr="00631C1B">
        <w:t xml:space="preserve"> target</w:t>
      </w:r>
      <w:r w:rsidR="00D91C81" w:rsidRPr="00631C1B">
        <w:t xml:space="preserve"> figures</w:t>
      </w:r>
      <w:r w:rsidR="00CF3546" w:rsidRPr="00631C1B">
        <w:t xml:space="preserve">, </w:t>
      </w:r>
      <w:r w:rsidR="0001578E" w:rsidRPr="00631C1B">
        <w:t>as they</w:t>
      </w:r>
      <w:r w:rsidR="00CF3546" w:rsidRPr="00631C1B">
        <w:t xml:space="preserve"> achieved a higher than expected</w:t>
      </w:r>
      <w:r w:rsidR="00D91C81" w:rsidRPr="00631C1B">
        <w:t xml:space="preserve"> retention rate</w:t>
      </w:r>
      <w:r w:rsidR="00E15B6E" w:rsidRPr="00631C1B">
        <w:t xml:space="preserve">. </w:t>
      </w:r>
      <w:r w:rsidR="000E764D" w:rsidRPr="00631C1B">
        <w:t xml:space="preserve">In some </w:t>
      </w:r>
      <w:r w:rsidR="00845B71" w:rsidRPr="00631C1B">
        <w:t>cases,</w:t>
      </w:r>
      <w:r w:rsidR="00E15B6E" w:rsidRPr="00631C1B">
        <w:t xml:space="preserve"> they</w:t>
      </w:r>
      <w:r w:rsidR="004C7B81" w:rsidRPr="00631C1B">
        <w:t xml:space="preserve"> took the executive decision to</w:t>
      </w:r>
      <w:r w:rsidR="00E15B6E" w:rsidRPr="00631C1B">
        <w:t xml:space="preserve"> prioritise </w:t>
      </w:r>
      <w:r w:rsidR="009D351A" w:rsidRPr="00631C1B">
        <w:t xml:space="preserve">sustained support for returning young people, rather than </w:t>
      </w:r>
      <w:r w:rsidR="00D93FBF" w:rsidRPr="00631C1B">
        <w:t>continuously attracting new participants</w:t>
      </w:r>
    </w:p>
    <w:p w14:paraId="639C7057" w14:textId="78063A0F" w:rsidR="00D91C81" w:rsidRPr="00631C1B" w:rsidRDefault="00491EF2" w:rsidP="00D91C81">
      <w:pPr>
        <w:pStyle w:val="ListBullet"/>
      </w:pPr>
      <w:r w:rsidRPr="00631C1B">
        <w:t>Unsurprisingly, numerous organisations reported that the g</w:t>
      </w:r>
      <w:r w:rsidR="00D91C81" w:rsidRPr="00631C1B">
        <w:t>reatest impact</w:t>
      </w:r>
      <w:r w:rsidRPr="00631C1B">
        <w:t xml:space="preserve"> was </w:t>
      </w:r>
      <w:r w:rsidR="00D91C81" w:rsidRPr="00631C1B">
        <w:t xml:space="preserve">seen </w:t>
      </w:r>
      <w:r w:rsidRPr="00631C1B">
        <w:t>in</w:t>
      </w:r>
      <w:r w:rsidR="00D91C81" w:rsidRPr="00631C1B">
        <w:t xml:space="preserve"> those who more regularly returned</w:t>
      </w:r>
      <w:r w:rsidR="00D00A02" w:rsidRPr="00631C1B">
        <w:t xml:space="preserve">, benefiting from more personalised and in-depth support </w:t>
      </w:r>
    </w:p>
    <w:p w14:paraId="3E47C12F" w14:textId="030B97F2" w:rsidR="003E1967" w:rsidRPr="00631C1B" w:rsidRDefault="00D91C81" w:rsidP="003E1967">
      <w:pPr>
        <w:pStyle w:val="ListBullet"/>
      </w:pPr>
      <w:r w:rsidRPr="00631C1B">
        <w:t xml:space="preserve">Some projects were overly </w:t>
      </w:r>
      <w:r w:rsidR="00CF3546" w:rsidRPr="00631C1B">
        <w:t>ambitious</w:t>
      </w:r>
      <w:r w:rsidRPr="00631C1B">
        <w:t xml:space="preserve"> in what they were able to deliver</w:t>
      </w:r>
      <w:r w:rsidR="00D93FBF" w:rsidRPr="00631C1B">
        <w:t>. This was,</w:t>
      </w:r>
      <w:r w:rsidRPr="00631C1B">
        <w:t xml:space="preserve"> in part</w:t>
      </w:r>
      <w:r w:rsidR="00D93FBF" w:rsidRPr="00631C1B">
        <w:t xml:space="preserve">, </w:t>
      </w:r>
      <w:r w:rsidR="00DB3EC1" w:rsidRPr="00631C1B">
        <w:t xml:space="preserve">due to </w:t>
      </w:r>
      <w:r w:rsidR="00D93FBF" w:rsidRPr="00631C1B">
        <w:t xml:space="preserve">an underestimation of </w:t>
      </w:r>
      <w:r w:rsidRPr="00631C1B">
        <w:t xml:space="preserve">the </w:t>
      </w:r>
      <w:r w:rsidR="00DB3EC1" w:rsidRPr="00631C1B">
        <w:t xml:space="preserve">resource required to sustain and </w:t>
      </w:r>
      <w:r w:rsidRPr="00631C1B">
        <w:t xml:space="preserve">build </w:t>
      </w:r>
      <w:r w:rsidR="005768E1" w:rsidRPr="00631C1B">
        <w:t>partners providing participants</w:t>
      </w:r>
    </w:p>
    <w:p w14:paraId="3E4C31B1" w14:textId="6C2196DF" w:rsidR="003E1967" w:rsidRPr="00631C1B" w:rsidRDefault="005768E1" w:rsidP="003E1967">
      <w:pPr>
        <w:pStyle w:val="ListBullet"/>
      </w:pPr>
      <w:r w:rsidRPr="00631C1B">
        <w:t xml:space="preserve">Many </w:t>
      </w:r>
      <w:r w:rsidR="00A23551" w:rsidRPr="00631C1B">
        <w:t xml:space="preserve">organisations reported that building </w:t>
      </w:r>
      <w:r w:rsidR="00FB7AE2" w:rsidRPr="00631C1B">
        <w:t xml:space="preserve">individual </w:t>
      </w:r>
      <w:r w:rsidR="00A23551" w:rsidRPr="00631C1B">
        <w:t>c</w:t>
      </w:r>
      <w:r w:rsidR="003E1967" w:rsidRPr="00631C1B">
        <w:t>onfidence</w:t>
      </w:r>
      <w:r w:rsidR="00FB7AE2" w:rsidRPr="00631C1B">
        <w:t xml:space="preserve">, especially given the </w:t>
      </w:r>
      <w:r w:rsidR="00C70B1B" w:rsidRPr="00631C1B">
        <w:t xml:space="preserve">high number </w:t>
      </w:r>
      <w:r w:rsidR="00AB2BC4" w:rsidRPr="00631C1B">
        <w:t xml:space="preserve">of young people </w:t>
      </w:r>
      <w:r w:rsidR="00C70B1B" w:rsidRPr="00631C1B">
        <w:t xml:space="preserve">who have </w:t>
      </w:r>
      <w:r w:rsidR="00FF5708" w:rsidRPr="00631C1B">
        <w:t xml:space="preserve">low </w:t>
      </w:r>
      <w:r w:rsidR="00C70B1B" w:rsidRPr="00631C1B">
        <w:t xml:space="preserve">self-esteem and interpersonal challenges, </w:t>
      </w:r>
      <w:r w:rsidR="00A23551" w:rsidRPr="00631C1B">
        <w:t>is the first step</w:t>
      </w:r>
      <w:r w:rsidR="00FB7AE2" w:rsidRPr="00631C1B">
        <w:t xml:space="preserve"> that enables the other outcomes the programme was aiming to achiev</w:t>
      </w:r>
      <w:r w:rsidR="005C04D9" w:rsidRPr="00631C1B">
        <w:t>e</w:t>
      </w:r>
    </w:p>
    <w:p w14:paraId="0B6695B5" w14:textId="79443706" w:rsidR="00165D38" w:rsidRPr="00631C1B" w:rsidRDefault="005C04D9" w:rsidP="00DD273D">
      <w:pPr>
        <w:pStyle w:val="ListBullet"/>
      </w:pPr>
      <w:r w:rsidRPr="00631C1B">
        <w:t xml:space="preserve">The most </w:t>
      </w:r>
      <w:r w:rsidR="009715D3" w:rsidRPr="00631C1B">
        <w:t xml:space="preserve">impactful </w:t>
      </w:r>
      <w:r w:rsidRPr="00631C1B">
        <w:t xml:space="preserve">organisations </w:t>
      </w:r>
      <w:r w:rsidR="00E40775" w:rsidRPr="00631C1B">
        <w:t>were those who were able to work</w:t>
      </w:r>
      <w:r w:rsidR="003E1967" w:rsidRPr="00631C1B">
        <w:t xml:space="preserve"> effective</w:t>
      </w:r>
      <w:r w:rsidR="00E40775" w:rsidRPr="00631C1B">
        <w:t xml:space="preserve">ly </w:t>
      </w:r>
      <w:r w:rsidR="003E1967" w:rsidRPr="00631C1B">
        <w:t xml:space="preserve">in </w:t>
      </w:r>
      <w:r w:rsidR="00E64BC5" w:rsidRPr="00631C1B">
        <w:t xml:space="preserve">ensuring </w:t>
      </w:r>
      <w:r w:rsidR="003E1967" w:rsidRPr="00631C1B">
        <w:t xml:space="preserve">a safe space </w:t>
      </w:r>
      <w:r w:rsidR="00E64BC5" w:rsidRPr="00631C1B">
        <w:t>for participants feeling they</w:t>
      </w:r>
      <w:r w:rsidR="003E1967" w:rsidRPr="00631C1B">
        <w:t xml:space="preserve"> belong, </w:t>
      </w:r>
      <w:r w:rsidR="00C80F08" w:rsidRPr="00631C1B">
        <w:t>led b</w:t>
      </w:r>
      <w:r w:rsidR="003E1967" w:rsidRPr="00631C1B">
        <w:t>y a person</w:t>
      </w:r>
      <w:r w:rsidR="00C80F08" w:rsidRPr="00631C1B">
        <w:t>-</w:t>
      </w:r>
      <w:r w:rsidR="003E1967" w:rsidRPr="00631C1B">
        <w:t>centred approach</w:t>
      </w:r>
      <w:r w:rsidR="00C80F08" w:rsidRPr="00631C1B">
        <w:t>,</w:t>
      </w:r>
      <w:r w:rsidR="003E1967" w:rsidRPr="00631C1B">
        <w:t xml:space="preserve"> </w:t>
      </w:r>
      <w:r w:rsidR="00C80F08" w:rsidRPr="00631C1B">
        <w:t>with</w:t>
      </w:r>
      <w:r w:rsidR="003E1967" w:rsidRPr="00631C1B">
        <w:t xml:space="preserve"> consistent feedback and encouragement</w:t>
      </w:r>
      <w:r w:rsidR="008641D2" w:rsidRPr="00631C1B">
        <w:t>. With the young people taking the lead, they p</w:t>
      </w:r>
      <w:r w:rsidR="00DD273D" w:rsidRPr="00631C1B">
        <w:t>rioritise</w:t>
      </w:r>
      <w:r w:rsidR="008641D2" w:rsidRPr="00631C1B">
        <w:t xml:space="preserve"> the s</w:t>
      </w:r>
      <w:r w:rsidR="003E1967" w:rsidRPr="00631C1B">
        <w:t>ignificance of individual identity</w:t>
      </w:r>
      <w:r w:rsidR="00DD273D" w:rsidRPr="00631C1B">
        <w:t xml:space="preserve">, </w:t>
      </w:r>
      <w:r w:rsidR="003E1967" w:rsidRPr="00631C1B">
        <w:t>where the programme respo</w:t>
      </w:r>
      <w:r w:rsidR="00DD273D" w:rsidRPr="00631C1B">
        <w:t xml:space="preserve">nds </w:t>
      </w:r>
      <w:r w:rsidR="003E1967" w:rsidRPr="00631C1B">
        <w:t>to individual needs</w:t>
      </w:r>
      <w:r w:rsidR="00DD273D" w:rsidRPr="00631C1B">
        <w:t>.</w:t>
      </w:r>
    </w:p>
    <w:p w14:paraId="1D6C581B" w14:textId="19E74EB1" w:rsidR="00954040" w:rsidRPr="00631C1B" w:rsidRDefault="00165D38" w:rsidP="00954040">
      <w:pPr>
        <w:pStyle w:val="Caption"/>
      </w:pPr>
      <w:bookmarkStart w:id="26" w:name="_Toc42266742"/>
      <w:r w:rsidRPr="00631C1B">
        <w:t>F</w:t>
      </w:r>
      <w:r w:rsidR="00954040" w:rsidRPr="00631C1B">
        <w:t xml:space="preserve">igure </w:t>
      </w:r>
      <w:r w:rsidR="00954040" w:rsidRPr="00631C1B">
        <w:rPr>
          <w:noProof/>
        </w:rPr>
        <w:fldChar w:fldCharType="begin"/>
      </w:r>
      <w:r w:rsidR="00954040" w:rsidRPr="00631C1B">
        <w:rPr>
          <w:noProof/>
        </w:rPr>
        <w:instrText xml:space="preserve"> SEQ Figure \* ARABIC </w:instrText>
      </w:r>
      <w:r w:rsidR="00954040" w:rsidRPr="00631C1B">
        <w:rPr>
          <w:noProof/>
        </w:rPr>
        <w:fldChar w:fldCharType="separate"/>
      </w:r>
      <w:r w:rsidR="00F41487" w:rsidRPr="00631C1B">
        <w:rPr>
          <w:noProof/>
        </w:rPr>
        <w:t>7</w:t>
      </w:r>
      <w:r w:rsidR="00954040" w:rsidRPr="00631C1B">
        <w:rPr>
          <w:noProof/>
        </w:rPr>
        <w:fldChar w:fldCharType="end"/>
      </w:r>
      <w:r w:rsidR="00954040" w:rsidRPr="00631C1B">
        <w:t xml:space="preserve">  Progress towards targets in building capacity and confidence - based on grant offer letter – Year 3</w:t>
      </w:r>
      <w:bookmarkEnd w:id="26"/>
    </w:p>
    <w:tbl>
      <w:tblPr>
        <w:tblStyle w:val="BOPtable"/>
        <w:tblW w:w="5286" w:type="pct"/>
        <w:tblLayout w:type="fixed"/>
        <w:tblLook w:val="04A0" w:firstRow="1" w:lastRow="0" w:firstColumn="1" w:lastColumn="0" w:noHBand="0" w:noVBand="1"/>
      </w:tblPr>
      <w:tblGrid>
        <w:gridCol w:w="1134"/>
        <w:gridCol w:w="992"/>
        <w:gridCol w:w="710"/>
        <w:gridCol w:w="1134"/>
        <w:gridCol w:w="711"/>
        <w:gridCol w:w="1134"/>
        <w:gridCol w:w="710"/>
        <w:gridCol w:w="977"/>
      </w:tblGrid>
      <w:tr w:rsidR="00954040" w:rsidRPr="00631C1B" w14:paraId="10B8EAB9" w14:textId="77777777" w:rsidTr="00F10BBF">
        <w:trPr>
          <w:cnfStyle w:val="100000000000" w:firstRow="1" w:lastRow="0" w:firstColumn="0" w:lastColumn="0" w:oddVBand="0" w:evenVBand="0" w:oddHBand="0" w:evenHBand="0" w:firstRowFirstColumn="0" w:firstRowLastColumn="0" w:lastRowFirstColumn="0" w:lastRowLastColumn="0"/>
          <w:trHeight w:val="334"/>
        </w:trPr>
        <w:tc>
          <w:tcPr>
            <w:tcW w:w="756" w:type="pct"/>
            <w:tcBorders>
              <w:right w:val="single" w:sz="4" w:space="0" w:color="auto"/>
            </w:tcBorders>
          </w:tcPr>
          <w:p w14:paraId="607CD2A2" w14:textId="77777777" w:rsidR="00954040" w:rsidRPr="00631C1B" w:rsidRDefault="00954040" w:rsidP="009A3F2B"/>
        </w:tc>
        <w:tc>
          <w:tcPr>
            <w:tcW w:w="1134" w:type="pct"/>
            <w:gridSpan w:val="2"/>
            <w:tcBorders>
              <w:left w:val="single" w:sz="4" w:space="0" w:color="auto"/>
              <w:right w:val="single" w:sz="4" w:space="0" w:color="auto"/>
            </w:tcBorders>
          </w:tcPr>
          <w:p w14:paraId="2FA984FE" w14:textId="77777777" w:rsidR="00954040" w:rsidRPr="00631C1B" w:rsidRDefault="00954040" w:rsidP="009A3F2B">
            <w:pPr>
              <w:jc w:val="center"/>
            </w:pPr>
            <w:r w:rsidRPr="00631C1B">
              <w:t>Targeted Fund</w:t>
            </w:r>
          </w:p>
        </w:tc>
        <w:tc>
          <w:tcPr>
            <w:tcW w:w="1230" w:type="pct"/>
            <w:gridSpan w:val="2"/>
            <w:tcBorders>
              <w:left w:val="single" w:sz="4" w:space="0" w:color="auto"/>
              <w:right w:val="single" w:sz="4" w:space="0" w:color="auto"/>
            </w:tcBorders>
          </w:tcPr>
          <w:p w14:paraId="155FCC95" w14:textId="77777777" w:rsidR="00954040" w:rsidRPr="00631C1B" w:rsidRDefault="00954040" w:rsidP="009A3F2B">
            <w:pPr>
              <w:jc w:val="center"/>
            </w:pPr>
            <w:r w:rsidRPr="00631C1B">
              <w:t>Open Fund</w:t>
            </w:r>
          </w:p>
        </w:tc>
        <w:tc>
          <w:tcPr>
            <w:tcW w:w="1229" w:type="pct"/>
            <w:gridSpan w:val="2"/>
            <w:tcBorders>
              <w:left w:val="single" w:sz="4" w:space="0" w:color="auto"/>
              <w:right w:val="single" w:sz="4" w:space="0" w:color="auto"/>
            </w:tcBorders>
          </w:tcPr>
          <w:p w14:paraId="17382E79" w14:textId="77777777" w:rsidR="00954040" w:rsidRPr="00631C1B" w:rsidRDefault="00954040" w:rsidP="009A3F2B">
            <w:pPr>
              <w:jc w:val="center"/>
            </w:pPr>
            <w:r w:rsidRPr="00631C1B">
              <w:t>Programme   Total</w:t>
            </w:r>
          </w:p>
        </w:tc>
        <w:tc>
          <w:tcPr>
            <w:tcW w:w="651" w:type="pct"/>
            <w:tcBorders>
              <w:left w:val="single" w:sz="4" w:space="0" w:color="auto"/>
              <w:right w:val="single" w:sz="4" w:space="0" w:color="auto"/>
            </w:tcBorders>
          </w:tcPr>
          <w:p w14:paraId="615B903A" w14:textId="77777777" w:rsidR="00954040" w:rsidRPr="00631C1B" w:rsidRDefault="00954040" w:rsidP="009A3F2B">
            <w:pPr>
              <w:jc w:val="center"/>
            </w:pPr>
          </w:p>
        </w:tc>
      </w:tr>
      <w:tr w:rsidR="00954040" w:rsidRPr="00631C1B" w14:paraId="204818C2" w14:textId="77777777" w:rsidTr="00F10BBF">
        <w:trPr>
          <w:trHeight w:val="134"/>
        </w:trPr>
        <w:tc>
          <w:tcPr>
            <w:tcW w:w="756" w:type="pct"/>
            <w:tcBorders>
              <w:top w:val="single" w:sz="12" w:space="0" w:color="3C5896" w:themeColor="accent1"/>
              <w:bottom w:val="single" w:sz="12" w:space="0" w:color="3C5896" w:themeColor="accent1"/>
              <w:right w:val="single" w:sz="4" w:space="0" w:color="auto"/>
            </w:tcBorders>
          </w:tcPr>
          <w:p w14:paraId="21117308" w14:textId="77777777" w:rsidR="00954040" w:rsidRPr="00631C1B" w:rsidRDefault="00954040" w:rsidP="009A3F2B"/>
        </w:tc>
        <w:tc>
          <w:tcPr>
            <w:tcW w:w="661" w:type="pct"/>
            <w:tcBorders>
              <w:top w:val="single" w:sz="12" w:space="0" w:color="3C5896" w:themeColor="accent1"/>
              <w:left w:val="single" w:sz="4" w:space="0" w:color="auto"/>
              <w:bottom w:val="single" w:sz="12" w:space="0" w:color="3C5896" w:themeColor="accent1"/>
              <w:right w:val="single" w:sz="4" w:space="0" w:color="auto"/>
            </w:tcBorders>
          </w:tcPr>
          <w:p w14:paraId="3576B9BF" w14:textId="77777777" w:rsidR="00954040" w:rsidRPr="00631C1B" w:rsidRDefault="00954040" w:rsidP="009A3F2B">
            <w:pPr>
              <w:jc w:val="center"/>
              <w:rPr>
                <w:b/>
                <w:color w:val="3C5896"/>
                <w:sz w:val="18"/>
              </w:rPr>
            </w:pPr>
            <w:r w:rsidRPr="00631C1B">
              <w:rPr>
                <w:b/>
                <w:color w:val="3C5896"/>
                <w:sz w:val="18"/>
              </w:rPr>
              <w:t>Grant offer letter target</w:t>
            </w:r>
          </w:p>
        </w:tc>
        <w:tc>
          <w:tcPr>
            <w:tcW w:w="473" w:type="pct"/>
            <w:tcBorders>
              <w:top w:val="single" w:sz="12" w:space="0" w:color="3C5896" w:themeColor="accent1"/>
              <w:left w:val="single" w:sz="4" w:space="0" w:color="auto"/>
              <w:bottom w:val="single" w:sz="12" w:space="0" w:color="3C5896" w:themeColor="accent1"/>
              <w:right w:val="single" w:sz="4" w:space="0" w:color="auto"/>
            </w:tcBorders>
          </w:tcPr>
          <w:p w14:paraId="26C0A4F0" w14:textId="77777777" w:rsidR="00954040" w:rsidRPr="00631C1B" w:rsidRDefault="00954040" w:rsidP="009A3F2B">
            <w:pPr>
              <w:jc w:val="center"/>
              <w:rPr>
                <w:b/>
                <w:color w:val="3C5896"/>
                <w:sz w:val="18"/>
              </w:rPr>
            </w:pPr>
            <w:r w:rsidRPr="00631C1B">
              <w:rPr>
                <w:b/>
                <w:color w:val="3C5896"/>
                <w:sz w:val="18"/>
              </w:rPr>
              <w:t>Actual</w:t>
            </w:r>
          </w:p>
        </w:tc>
        <w:tc>
          <w:tcPr>
            <w:tcW w:w="756" w:type="pct"/>
            <w:tcBorders>
              <w:top w:val="single" w:sz="12" w:space="0" w:color="3C5896" w:themeColor="accent1"/>
              <w:left w:val="single" w:sz="4" w:space="0" w:color="auto"/>
              <w:bottom w:val="single" w:sz="12" w:space="0" w:color="3C5896" w:themeColor="accent1"/>
              <w:right w:val="single" w:sz="4" w:space="0" w:color="auto"/>
            </w:tcBorders>
          </w:tcPr>
          <w:p w14:paraId="478448C7" w14:textId="77777777" w:rsidR="00954040" w:rsidRPr="00631C1B" w:rsidRDefault="00954040" w:rsidP="009A3F2B">
            <w:pPr>
              <w:jc w:val="center"/>
              <w:rPr>
                <w:b/>
                <w:color w:val="3C5896"/>
                <w:sz w:val="18"/>
              </w:rPr>
            </w:pPr>
            <w:r w:rsidRPr="00631C1B">
              <w:rPr>
                <w:b/>
                <w:color w:val="3C5896"/>
                <w:sz w:val="18"/>
              </w:rPr>
              <w:t>Grant offer letter target</w:t>
            </w:r>
          </w:p>
        </w:tc>
        <w:tc>
          <w:tcPr>
            <w:tcW w:w="474" w:type="pct"/>
            <w:tcBorders>
              <w:top w:val="single" w:sz="12" w:space="0" w:color="3C5896" w:themeColor="accent1"/>
              <w:left w:val="single" w:sz="4" w:space="0" w:color="auto"/>
              <w:bottom w:val="single" w:sz="12" w:space="0" w:color="3C5896" w:themeColor="accent1"/>
              <w:right w:val="single" w:sz="4" w:space="0" w:color="auto"/>
            </w:tcBorders>
          </w:tcPr>
          <w:p w14:paraId="38E8DFF9" w14:textId="77777777" w:rsidR="00954040" w:rsidRPr="00631C1B" w:rsidRDefault="00954040" w:rsidP="009A3F2B">
            <w:pPr>
              <w:jc w:val="center"/>
              <w:rPr>
                <w:b/>
                <w:color w:val="3C5896"/>
                <w:sz w:val="18"/>
              </w:rPr>
            </w:pPr>
            <w:r w:rsidRPr="00631C1B">
              <w:rPr>
                <w:b/>
                <w:color w:val="3C5896"/>
                <w:sz w:val="18"/>
              </w:rPr>
              <w:t>Actual</w:t>
            </w:r>
          </w:p>
        </w:tc>
        <w:tc>
          <w:tcPr>
            <w:tcW w:w="756" w:type="pct"/>
            <w:tcBorders>
              <w:top w:val="single" w:sz="12" w:space="0" w:color="3C5896" w:themeColor="accent1"/>
              <w:left w:val="single" w:sz="4" w:space="0" w:color="auto"/>
              <w:bottom w:val="single" w:sz="12" w:space="0" w:color="3C5896" w:themeColor="accent1"/>
              <w:right w:val="single" w:sz="4" w:space="0" w:color="auto"/>
            </w:tcBorders>
          </w:tcPr>
          <w:p w14:paraId="58E51997" w14:textId="77777777" w:rsidR="00954040" w:rsidRPr="00631C1B" w:rsidRDefault="00954040" w:rsidP="009A3F2B">
            <w:pPr>
              <w:jc w:val="center"/>
              <w:rPr>
                <w:b/>
                <w:color w:val="3C5896"/>
                <w:sz w:val="18"/>
              </w:rPr>
            </w:pPr>
            <w:r w:rsidRPr="00631C1B">
              <w:rPr>
                <w:b/>
                <w:color w:val="3C5896"/>
                <w:sz w:val="18"/>
              </w:rPr>
              <w:t>Grant offer letter target</w:t>
            </w:r>
          </w:p>
        </w:tc>
        <w:tc>
          <w:tcPr>
            <w:tcW w:w="473" w:type="pct"/>
            <w:tcBorders>
              <w:top w:val="single" w:sz="12" w:space="0" w:color="3C5896" w:themeColor="accent1"/>
              <w:left w:val="single" w:sz="4" w:space="0" w:color="auto"/>
              <w:bottom w:val="single" w:sz="12" w:space="0" w:color="3C5896" w:themeColor="accent1"/>
              <w:right w:val="single" w:sz="4" w:space="0" w:color="auto"/>
            </w:tcBorders>
          </w:tcPr>
          <w:p w14:paraId="6813904B" w14:textId="77777777" w:rsidR="00954040" w:rsidRPr="00631C1B" w:rsidRDefault="00954040" w:rsidP="009A3F2B">
            <w:pPr>
              <w:jc w:val="center"/>
              <w:rPr>
                <w:b/>
                <w:color w:val="3C5896"/>
                <w:sz w:val="18"/>
              </w:rPr>
            </w:pPr>
            <w:r w:rsidRPr="00631C1B">
              <w:rPr>
                <w:b/>
                <w:color w:val="3C5896"/>
                <w:sz w:val="18"/>
              </w:rPr>
              <w:t>Actual</w:t>
            </w:r>
          </w:p>
        </w:tc>
        <w:tc>
          <w:tcPr>
            <w:tcW w:w="651" w:type="pct"/>
            <w:tcBorders>
              <w:top w:val="single" w:sz="12" w:space="0" w:color="3C5896" w:themeColor="accent1"/>
              <w:left w:val="single" w:sz="4" w:space="0" w:color="auto"/>
              <w:bottom w:val="single" w:sz="12" w:space="0" w:color="3C5896" w:themeColor="accent1"/>
              <w:right w:val="single" w:sz="4" w:space="0" w:color="auto"/>
            </w:tcBorders>
          </w:tcPr>
          <w:p w14:paraId="5193704D" w14:textId="77777777" w:rsidR="00954040" w:rsidRPr="00631C1B" w:rsidRDefault="00954040" w:rsidP="00C04E09">
            <w:pPr>
              <w:jc w:val="center"/>
              <w:rPr>
                <w:b/>
                <w:color w:val="3C5896"/>
                <w:sz w:val="18"/>
              </w:rPr>
            </w:pPr>
            <w:r w:rsidRPr="00631C1B">
              <w:rPr>
                <w:b/>
                <w:color w:val="3C5896"/>
                <w:sz w:val="18"/>
              </w:rPr>
              <w:t>Variance</w:t>
            </w:r>
          </w:p>
        </w:tc>
      </w:tr>
      <w:tr w:rsidR="00954040" w:rsidRPr="00631C1B" w14:paraId="01AE389F" w14:textId="77777777" w:rsidTr="00F10BBF">
        <w:trPr>
          <w:trHeight w:val="111"/>
        </w:trPr>
        <w:tc>
          <w:tcPr>
            <w:tcW w:w="756" w:type="pct"/>
            <w:tcBorders>
              <w:top w:val="single" w:sz="12" w:space="0" w:color="3C5896" w:themeColor="accent1"/>
              <w:right w:val="single" w:sz="4" w:space="0" w:color="auto"/>
            </w:tcBorders>
          </w:tcPr>
          <w:p w14:paraId="08EA9BB4" w14:textId="77777777" w:rsidR="00954040" w:rsidRPr="00631C1B" w:rsidRDefault="00954040" w:rsidP="009A3F2B">
            <w:pPr>
              <w:rPr>
                <w:sz w:val="18"/>
                <w:szCs w:val="18"/>
              </w:rPr>
            </w:pPr>
            <w:r w:rsidRPr="00631C1B">
              <w:rPr>
                <w:sz w:val="18"/>
                <w:szCs w:val="18"/>
              </w:rPr>
              <w:t>Young people report their confidence increasing</w:t>
            </w:r>
          </w:p>
        </w:tc>
        <w:tc>
          <w:tcPr>
            <w:tcW w:w="661" w:type="pct"/>
            <w:tcBorders>
              <w:top w:val="single" w:sz="12" w:space="0" w:color="3C5896" w:themeColor="accent1"/>
              <w:left w:val="single" w:sz="4" w:space="0" w:color="auto"/>
              <w:right w:val="single" w:sz="4" w:space="0" w:color="auto"/>
            </w:tcBorders>
          </w:tcPr>
          <w:p w14:paraId="2B63F7F9" w14:textId="7CA4C6F6" w:rsidR="00954040" w:rsidRPr="00631C1B" w:rsidRDefault="00954040" w:rsidP="009A3F2B">
            <w:pPr>
              <w:jc w:val="center"/>
              <w:rPr>
                <w:sz w:val="18"/>
                <w:szCs w:val="18"/>
              </w:rPr>
            </w:pPr>
            <w:r w:rsidRPr="00631C1B">
              <w:rPr>
                <w:sz w:val="18"/>
                <w:szCs w:val="18"/>
              </w:rPr>
              <w:t>2,</w:t>
            </w:r>
            <w:r w:rsidR="00B93D1D" w:rsidRPr="00631C1B">
              <w:rPr>
                <w:sz w:val="18"/>
                <w:szCs w:val="18"/>
              </w:rPr>
              <w:t>045</w:t>
            </w:r>
          </w:p>
        </w:tc>
        <w:tc>
          <w:tcPr>
            <w:tcW w:w="473" w:type="pct"/>
            <w:tcBorders>
              <w:top w:val="single" w:sz="12" w:space="0" w:color="3C5896" w:themeColor="accent1"/>
              <w:left w:val="single" w:sz="4" w:space="0" w:color="auto"/>
              <w:right w:val="single" w:sz="4" w:space="0" w:color="auto"/>
            </w:tcBorders>
          </w:tcPr>
          <w:p w14:paraId="352CCC0C" w14:textId="1F16BCFD" w:rsidR="00954040" w:rsidRPr="00631C1B" w:rsidRDefault="00F92126" w:rsidP="009A3F2B">
            <w:pPr>
              <w:jc w:val="center"/>
              <w:rPr>
                <w:sz w:val="18"/>
                <w:szCs w:val="18"/>
              </w:rPr>
            </w:pPr>
            <w:r w:rsidRPr="00631C1B">
              <w:rPr>
                <w:sz w:val="18"/>
                <w:szCs w:val="18"/>
              </w:rPr>
              <w:t>2,183</w:t>
            </w:r>
          </w:p>
        </w:tc>
        <w:tc>
          <w:tcPr>
            <w:tcW w:w="756" w:type="pct"/>
            <w:tcBorders>
              <w:top w:val="single" w:sz="12" w:space="0" w:color="3C5896" w:themeColor="accent1"/>
              <w:left w:val="single" w:sz="4" w:space="0" w:color="auto"/>
              <w:right w:val="single" w:sz="4" w:space="0" w:color="auto"/>
            </w:tcBorders>
          </w:tcPr>
          <w:p w14:paraId="129CB1DE" w14:textId="21812A37" w:rsidR="00954040" w:rsidRPr="00631C1B" w:rsidRDefault="00D734BD" w:rsidP="009A3F2B">
            <w:pPr>
              <w:jc w:val="center"/>
              <w:rPr>
                <w:sz w:val="18"/>
                <w:szCs w:val="18"/>
              </w:rPr>
            </w:pPr>
            <w:r w:rsidRPr="00631C1B">
              <w:rPr>
                <w:sz w:val="18"/>
                <w:szCs w:val="18"/>
              </w:rPr>
              <w:t>2,500</w:t>
            </w:r>
          </w:p>
        </w:tc>
        <w:tc>
          <w:tcPr>
            <w:tcW w:w="474" w:type="pct"/>
            <w:tcBorders>
              <w:top w:val="single" w:sz="12" w:space="0" w:color="3C5896" w:themeColor="accent1"/>
              <w:left w:val="single" w:sz="4" w:space="0" w:color="auto"/>
              <w:right w:val="single" w:sz="4" w:space="0" w:color="auto"/>
            </w:tcBorders>
          </w:tcPr>
          <w:p w14:paraId="20604C65" w14:textId="6428706C" w:rsidR="00954040" w:rsidRPr="00631C1B" w:rsidRDefault="004B646F" w:rsidP="009A3F2B">
            <w:pPr>
              <w:jc w:val="center"/>
              <w:rPr>
                <w:sz w:val="18"/>
                <w:szCs w:val="18"/>
              </w:rPr>
            </w:pPr>
            <w:r w:rsidRPr="00631C1B">
              <w:rPr>
                <w:sz w:val="18"/>
                <w:szCs w:val="18"/>
              </w:rPr>
              <w:t>2,329</w:t>
            </w:r>
          </w:p>
        </w:tc>
        <w:tc>
          <w:tcPr>
            <w:tcW w:w="756" w:type="pct"/>
            <w:tcBorders>
              <w:top w:val="single" w:sz="12" w:space="0" w:color="3C5896" w:themeColor="accent1"/>
              <w:left w:val="single" w:sz="4" w:space="0" w:color="auto"/>
              <w:right w:val="single" w:sz="4" w:space="0" w:color="auto"/>
            </w:tcBorders>
          </w:tcPr>
          <w:p w14:paraId="295F81C1" w14:textId="0C96EA68" w:rsidR="00954040" w:rsidRPr="00631C1B" w:rsidRDefault="00B93553" w:rsidP="009A3F2B">
            <w:pPr>
              <w:jc w:val="center"/>
              <w:rPr>
                <w:sz w:val="18"/>
                <w:szCs w:val="18"/>
              </w:rPr>
            </w:pPr>
            <w:r w:rsidRPr="00631C1B">
              <w:rPr>
                <w:sz w:val="18"/>
                <w:szCs w:val="18"/>
              </w:rPr>
              <w:t>4,</w:t>
            </w:r>
            <w:r w:rsidR="006B2DF0" w:rsidRPr="00631C1B">
              <w:rPr>
                <w:sz w:val="18"/>
                <w:szCs w:val="18"/>
              </w:rPr>
              <w:t>545</w:t>
            </w:r>
          </w:p>
        </w:tc>
        <w:tc>
          <w:tcPr>
            <w:tcW w:w="473" w:type="pct"/>
            <w:tcBorders>
              <w:top w:val="single" w:sz="12" w:space="0" w:color="3C5896" w:themeColor="accent1"/>
              <w:left w:val="single" w:sz="4" w:space="0" w:color="auto"/>
              <w:right w:val="single" w:sz="4" w:space="0" w:color="auto"/>
            </w:tcBorders>
          </w:tcPr>
          <w:p w14:paraId="50019264" w14:textId="49F3BF3B" w:rsidR="00954040" w:rsidRPr="00631C1B" w:rsidRDefault="00AB7901" w:rsidP="009A3F2B">
            <w:pPr>
              <w:jc w:val="center"/>
              <w:rPr>
                <w:sz w:val="18"/>
                <w:szCs w:val="18"/>
              </w:rPr>
            </w:pPr>
            <w:r w:rsidRPr="00631C1B">
              <w:rPr>
                <w:sz w:val="18"/>
                <w:szCs w:val="18"/>
              </w:rPr>
              <w:t>4,512</w:t>
            </w:r>
          </w:p>
        </w:tc>
        <w:tc>
          <w:tcPr>
            <w:tcW w:w="651" w:type="pct"/>
            <w:tcBorders>
              <w:top w:val="single" w:sz="12" w:space="0" w:color="3C5896" w:themeColor="accent1"/>
              <w:left w:val="single" w:sz="4" w:space="0" w:color="auto"/>
              <w:right w:val="single" w:sz="4" w:space="0" w:color="auto"/>
            </w:tcBorders>
          </w:tcPr>
          <w:p w14:paraId="6759F8E4" w14:textId="598E47B7" w:rsidR="00954040" w:rsidRPr="00631C1B" w:rsidRDefault="005B3C0F" w:rsidP="009A3F2B">
            <w:pPr>
              <w:jc w:val="center"/>
              <w:rPr>
                <w:sz w:val="18"/>
                <w:szCs w:val="18"/>
              </w:rPr>
            </w:pPr>
            <w:r w:rsidRPr="00631C1B">
              <w:rPr>
                <w:sz w:val="18"/>
                <w:szCs w:val="18"/>
              </w:rPr>
              <w:t>-33</w:t>
            </w:r>
          </w:p>
        </w:tc>
      </w:tr>
      <w:tr w:rsidR="00954040" w:rsidRPr="00631C1B" w14:paraId="772AA2CE" w14:textId="77777777" w:rsidTr="00205E39">
        <w:trPr>
          <w:trHeight w:val="17"/>
        </w:trPr>
        <w:tc>
          <w:tcPr>
            <w:tcW w:w="756" w:type="pct"/>
            <w:tcBorders>
              <w:right w:val="single" w:sz="4" w:space="0" w:color="auto"/>
            </w:tcBorders>
          </w:tcPr>
          <w:p w14:paraId="13BECD8F" w14:textId="77777777" w:rsidR="00954040" w:rsidRPr="00631C1B" w:rsidRDefault="00954040" w:rsidP="009A3F2B">
            <w:pPr>
              <w:rPr>
                <w:sz w:val="18"/>
                <w:szCs w:val="18"/>
              </w:rPr>
            </w:pPr>
            <w:r w:rsidRPr="00631C1B">
              <w:rPr>
                <w:sz w:val="18"/>
                <w:szCs w:val="18"/>
              </w:rPr>
              <w:t>Young people feel able to do new things</w:t>
            </w:r>
          </w:p>
        </w:tc>
        <w:tc>
          <w:tcPr>
            <w:tcW w:w="661" w:type="pct"/>
            <w:tcBorders>
              <w:left w:val="single" w:sz="4" w:space="0" w:color="auto"/>
              <w:right w:val="single" w:sz="4" w:space="0" w:color="auto"/>
            </w:tcBorders>
          </w:tcPr>
          <w:p w14:paraId="19E0975C" w14:textId="28D5754B" w:rsidR="00954040" w:rsidRPr="00631C1B" w:rsidRDefault="00954040" w:rsidP="009A3F2B">
            <w:pPr>
              <w:jc w:val="center"/>
              <w:rPr>
                <w:sz w:val="18"/>
                <w:szCs w:val="18"/>
              </w:rPr>
            </w:pPr>
            <w:r w:rsidRPr="00631C1B">
              <w:rPr>
                <w:sz w:val="18"/>
                <w:szCs w:val="18"/>
              </w:rPr>
              <w:t>2,</w:t>
            </w:r>
            <w:r w:rsidR="000E2E03" w:rsidRPr="00631C1B">
              <w:rPr>
                <w:sz w:val="18"/>
                <w:szCs w:val="18"/>
              </w:rPr>
              <w:t>0</w:t>
            </w:r>
            <w:r w:rsidR="00297780" w:rsidRPr="00631C1B">
              <w:rPr>
                <w:sz w:val="18"/>
                <w:szCs w:val="18"/>
              </w:rPr>
              <w:t>54</w:t>
            </w:r>
          </w:p>
        </w:tc>
        <w:tc>
          <w:tcPr>
            <w:tcW w:w="473" w:type="pct"/>
            <w:tcBorders>
              <w:left w:val="single" w:sz="4" w:space="0" w:color="auto"/>
              <w:right w:val="single" w:sz="4" w:space="0" w:color="auto"/>
            </w:tcBorders>
          </w:tcPr>
          <w:p w14:paraId="581B5593" w14:textId="66F77DBF" w:rsidR="00954040" w:rsidRPr="00631C1B" w:rsidRDefault="00F92126" w:rsidP="009A3F2B">
            <w:pPr>
              <w:jc w:val="center"/>
              <w:rPr>
                <w:sz w:val="18"/>
                <w:szCs w:val="18"/>
              </w:rPr>
            </w:pPr>
            <w:r w:rsidRPr="00631C1B">
              <w:rPr>
                <w:sz w:val="18"/>
                <w:szCs w:val="18"/>
              </w:rPr>
              <w:t>2,</w:t>
            </w:r>
            <w:r w:rsidR="00415644" w:rsidRPr="00631C1B">
              <w:rPr>
                <w:sz w:val="18"/>
                <w:szCs w:val="18"/>
              </w:rPr>
              <w:t>183</w:t>
            </w:r>
          </w:p>
        </w:tc>
        <w:tc>
          <w:tcPr>
            <w:tcW w:w="756" w:type="pct"/>
            <w:tcBorders>
              <w:left w:val="single" w:sz="4" w:space="0" w:color="auto"/>
              <w:right w:val="single" w:sz="4" w:space="0" w:color="auto"/>
            </w:tcBorders>
          </w:tcPr>
          <w:p w14:paraId="2BAEC83D" w14:textId="13B89062" w:rsidR="00954040" w:rsidRPr="00631C1B" w:rsidRDefault="00013D2D" w:rsidP="009A3F2B">
            <w:pPr>
              <w:jc w:val="center"/>
              <w:rPr>
                <w:sz w:val="18"/>
                <w:szCs w:val="18"/>
              </w:rPr>
            </w:pPr>
            <w:r w:rsidRPr="00631C1B">
              <w:rPr>
                <w:sz w:val="18"/>
                <w:szCs w:val="18"/>
              </w:rPr>
              <w:t>2,500</w:t>
            </w:r>
          </w:p>
        </w:tc>
        <w:tc>
          <w:tcPr>
            <w:tcW w:w="474" w:type="pct"/>
            <w:tcBorders>
              <w:left w:val="single" w:sz="4" w:space="0" w:color="auto"/>
              <w:right w:val="single" w:sz="4" w:space="0" w:color="auto"/>
            </w:tcBorders>
          </w:tcPr>
          <w:p w14:paraId="6B448BD9" w14:textId="42D1EF13" w:rsidR="00954040" w:rsidRPr="00631C1B" w:rsidRDefault="004B646F" w:rsidP="009A3F2B">
            <w:pPr>
              <w:jc w:val="center"/>
              <w:rPr>
                <w:sz w:val="18"/>
                <w:szCs w:val="18"/>
              </w:rPr>
            </w:pPr>
            <w:r w:rsidRPr="00631C1B">
              <w:rPr>
                <w:sz w:val="18"/>
                <w:szCs w:val="18"/>
              </w:rPr>
              <w:t>2,</w:t>
            </w:r>
            <w:r w:rsidR="008960E4" w:rsidRPr="00631C1B">
              <w:rPr>
                <w:sz w:val="18"/>
                <w:szCs w:val="18"/>
              </w:rPr>
              <w:t>368</w:t>
            </w:r>
          </w:p>
        </w:tc>
        <w:tc>
          <w:tcPr>
            <w:tcW w:w="756" w:type="pct"/>
            <w:tcBorders>
              <w:left w:val="single" w:sz="4" w:space="0" w:color="auto"/>
              <w:right w:val="single" w:sz="4" w:space="0" w:color="auto"/>
            </w:tcBorders>
          </w:tcPr>
          <w:p w14:paraId="3FB5ECCF" w14:textId="21ED0533" w:rsidR="00954040" w:rsidRPr="00631C1B" w:rsidRDefault="006B2DF0" w:rsidP="009A3F2B">
            <w:pPr>
              <w:jc w:val="center"/>
              <w:rPr>
                <w:sz w:val="18"/>
                <w:szCs w:val="18"/>
              </w:rPr>
            </w:pPr>
            <w:r w:rsidRPr="00631C1B">
              <w:rPr>
                <w:sz w:val="18"/>
                <w:szCs w:val="18"/>
              </w:rPr>
              <w:t>4,5</w:t>
            </w:r>
            <w:r w:rsidR="00A54A2A" w:rsidRPr="00631C1B">
              <w:rPr>
                <w:sz w:val="18"/>
                <w:szCs w:val="18"/>
              </w:rPr>
              <w:t>54</w:t>
            </w:r>
          </w:p>
        </w:tc>
        <w:tc>
          <w:tcPr>
            <w:tcW w:w="473" w:type="pct"/>
            <w:tcBorders>
              <w:left w:val="single" w:sz="4" w:space="0" w:color="auto"/>
              <w:right w:val="single" w:sz="4" w:space="0" w:color="auto"/>
            </w:tcBorders>
          </w:tcPr>
          <w:p w14:paraId="414A871C" w14:textId="5EDE358B" w:rsidR="00954040" w:rsidRPr="00631C1B" w:rsidRDefault="0066674F" w:rsidP="009A3F2B">
            <w:pPr>
              <w:jc w:val="center"/>
              <w:rPr>
                <w:sz w:val="18"/>
                <w:szCs w:val="18"/>
              </w:rPr>
            </w:pPr>
            <w:r w:rsidRPr="00631C1B">
              <w:rPr>
                <w:sz w:val="18"/>
                <w:szCs w:val="18"/>
              </w:rPr>
              <w:t>4,551</w:t>
            </w:r>
          </w:p>
        </w:tc>
        <w:tc>
          <w:tcPr>
            <w:tcW w:w="651" w:type="pct"/>
            <w:tcBorders>
              <w:left w:val="single" w:sz="4" w:space="0" w:color="auto"/>
              <w:right w:val="single" w:sz="4" w:space="0" w:color="auto"/>
            </w:tcBorders>
          </w:tcPr>
          <w:p w14:paraId="632E02B4" w14:textId="005BF6CD" w:rsidR="00954040" w:rsidRPr="00631C1B" w:rsidRDefault="00A54A2A" w:rsidP="009A3F2B">
            <w:pPr>
              <w:jc w:val="center"/>
              <w:rPr>
                <w:sz w:val="18"/>
                <w:szCs w:val="18"/>
              </w:rPr>
            </w:pPr>
            <w:r w:rsidRPr="00631C1B">
              <w:rPr>
                <w:sz w:val="18"/>
                <w:szCs w:val="18"/>
              </w:rPr>
              <w:t>-3</w:t>
            </w:r>
          </w:p>
        </w:tc>
      </w:tr>
      <w:tr w:rsidR="00954040" w:rsidRPr="00631C1B" w14:paraId="2FEEB540" w14:textId="77777777" w:rsidTr="00F10BBF">
        <w:trPr>
          <w:trHeight w:val="147"/>
        </w:trPr>
        <w:tc>
          <w:tcPr>
            <w:tcW w:w="756" w:type="pct"/>
            <w:tcBorders>
              <w:right w:val="single" w:sz="4" w:space="0" w:color="auto"/>
            </w:tcBorders>
          </w:tcPr>
          <w:p w14:paraId="39B4BCDC" w14:textId="1101D44C" w:rsidR="00954040" w:rsidRPr="00631C1B" w:rsidRDefault="00954040" w:rsidP="009A3F2B">
            <w:pPr>
              <w:rPr>
                <w:sz w:val="18"/>
                <w:szCs w:val="18"/>
              </w:rPr>
            </w:pPr>
            <w:r w:rsidRPr="00631C1B">
              <w:rPr>
                <w:sz w:val="18"/>
                <w:szCs w:val="18"/>
              </w:rPr>
              <w:t xml:space="preserve">Young people go on to do new things after their initial </w:t>
            </w:r>
            <w:proofErr w:type="spellStart"/>
            <w:r w:rsidR="00281FAF" w:rsidRPr="00631C1B">
              <w:rPr>
                <w:sz w:val="18"/>
                <w:szCs w:val="18"/>
              </w:rPr>
              <w:t>CashBack</w:t>
            </w:r>
            <w:proofErr w:type="spellEnd"/>
            <w:r w:rsidRPr="00631C1B">
              <w:rPr>
                <w:sz w:val="18"/>
                <w:szCs w:val="18"/>
              </w:rPr>
              <w:t xml:space="preserve"> involvement</w:t>
            </w:r>
          </w:p>
        </w:tc>
        <w:tc>
          <w:tcPr>
            <w:tcW w:w="661" w:type="pct"/>
            <w:tcBorders>
              <w:left w:val="single" w:sz="4" w:space="0" w:color="auto"/>
              <w:right w:val="single" w:sz="4" w:space="0" w:color="auto"/>
            </w:tcBorders>
          </w:tcPr>
          <w:p w14:paraId="65BE1FDB" w14:textId="77777777" w:rsidR="00954040" w:rsidRPr="00631C1B" w:rsidRDefault="00954040" w:rsidP="009A3F2B">
            <w:pPr>
              <w:jc w:val="center"/>
              <w:rPr>
                <w:sz w:val="18"/>
                <w:szCs w:val="18"/>
              </w:rPr>
            </w:pPr>
            <w:r w:rsidRPr="00631C1B">
              <w:rPr>
                <w:sz w:val="18"/>
                <w:szCs w:val="18"/>
              </w:rPr>
              <w:t>N/A</w:t>
            </w:r>
          </w:p>
        </w:tc>
        <w:tc>
          <w:tcPr>
            <w:tcW w:w="473" w:type="pct"/>
            <w:tcBorders>
              <w:left w:val="single" w:sz="4" w:space="0" w:color="auto"/>
              <w:right w:val="single" w:sz="4" w:space="0" w:color="auto"/>
            </w:tcBorders>
          </w:tcPr>
          <w:p w14:paraId="49D90FE4" w14:textId="6F9BBC45" w:rsidR="00954040" w:rsidRPr="00631C1B" w:rsidRDefault="00415644" w:rsidP="009A3F2B">
            <w:pPr>
              <w:jc w:val="center"/>
              <w:rPr>
                <w:sz w:val="18"/>
                <w:szCs w:val="18"/>
              </w:rPr>
            </w:pPr>
            <w:r w:rsidRPr="00631C1B">
              <w:rPr>
                <w:sz w:val="18"/>
                <w:szCs w:val="18"/>
              </w:rPr>
              <w:t>1,902</w:t>
            </w:r>
          </w:p>
        </w:tc>
        <w:tc>
          <w:tcPr>
            <w:tcW w:w="756" w:type="pct"/>
            <w:tcBorders>
              <w:left w:val="single" w:sz="4" w:space="0" w:color="auto"/>
              <w:right w:val="single" w:sz="4" w:space="0" w:color="auto"/>
            </w:tcBorders>
          </w:tcPr>
          <w:p w14:paraId="274376EB" w14:textId="77777777" w:rsidR="00954040" w:rsidRPr="00631C1B" w:rsidRDefault="00954040" w:rsidP="009A3F2B">
            <w:pPr>
              <w:jc w:val="center"/>
              <w:rPr>
                <w:sz w:val="18"/>
                <w:szCs w:val="18"/>
              </w:rPr>
            </w:pPr>
            <w:r w:rsidRPr="00631C1B">
              <w:rPr>
                <w:sz w:val="18"/>
                <w:szCs w:val="18"/>
              </w:rPr>
              <w:t>N/A</w:t>
            </w:r>
          </w:p>
        </w:tc>
        <w:tc>
          <w:tcPr>
            <w:tcW w:w="474" w:type="pct"/>
            <w:tcBorders>
              <w:left w:val="single" w:sz="4" w:space="0" w:color="auto"/>
              <w:right w:val="single" w:sz="4" w:space="0" w:color="auto"/>
            </w:tcBorders>
          </w:tcPr>
          <w:p w14:paraId="6235EE16" w14:textId="7196DB7A" w:rsidR="00954040" w:rsidRPr="00631C1B" w:rsidRDefault="005A5DA1" w:rsidP="009A3F2B">
            <w:pPr>
              <w:jc w:val="center"/>
              <w:rPr>
                <w:sz w:val="18"/>
                <w:szCs w:val="18"/>
              </w:rPr>
            </w:pPr>
            <w:r w:rsidRPr="00631C1B">
              <w:rPr>
                <w:sz w:val="18"/>
                <w:szCs w:val="18"/>
              </w:rPr>
              <w:t>N/A</w:t>
            </w:r>
          </w:p>
        </w:tc>
        <w:tc>
          <w:tcPr>
            <w:tcW w:w="756" w:type="pct"/>
            <w:tcBorders>
              <w:left w:val="single" w:sz="4" w:space="0" w:color="auto"/>
              <w:right w:val="single" w:sz="4" w:space="0" w:color="auto"/>
            </w:tcBorders>
          </w:tcPr>
          <w:p w14:paraId="49FB9E3B" w14:textId="77777777" w:rsidR="00954040" w:rsidRPr="00631C1B" w:rsidRDefault="00954040" w:rsidP="009A3F2B">
            <w:pPr>
              <w:jc w:val="center"/>
              <w:rPr>
                <w:sz w:val="18"/>
                <w:szCs w:val="18"/>
              </w:rPr>
            </w:pPr>
            <w:r w:rsidRPr="00631C1B">
              <w:rPr>
                <w:sz w:val="18"/>
                <w:szCs w:val="18"/>
              </w:rPr>
              <w:t>N/A</w:t>
            </w:r>
          </w:p>
        </w:tc>
        <w:tc>
          <w:tcPr>
            <w:tcW w:w="473" w:type="pct"/>
            <w:tcBorders>
              <w:left w:val="single" w:sz="4" w:space="0" w:color="auto"/>
              <w:right w:val="single" w:sz="4" w:space="0" w:color="auto"/>
            </w:tcBorders>
          </w:tcPr>
          <w:p w14:paraId="54F207E9" w14:textId="05B37BD7" w:rsidR="00954040" w:rsidRPr="00631C1B" w:rsidRDefault="0066674F" w:rsidP="009A3F2B">
            <w:pPr>
              <w:jc w:val="center"/>
              <w:rPr>
                <w:sz w:val="18"/>
                <w:szCs w:val="18"/>
              </w:rPr>
            </w:pPr>
            <w:r w:rsidRPr="00631C1B">
              <w:rPr>
                <w:sz w:val="18"/>
                <w:szCs w:val="18"/>
              </w:rPr>
              <w:t>1,902</w:t>
            </w:r>
          </w:p>
        </w:tc>
        <w:tc>
          <w:tcPr>
            <w:tcW w:w="651" w:type="pct"/>
            <w:tcBorders>
              <w:left w:val="single" w:sz="4" w:space="0" w:color="auto"/>
              <w:right w:val="single" w:sz="4" w:space="0" w:color="auto"/>
            </w:tcBorders>
          </w:tcPr>
          <w:p w14:paraId="6426649D" w14:textId="629C82AC" w:rsidR="00954040" w:rsidRPr="00631C1B" w:rsidRDefault="005A5DA1" w:rsidP="009A3F2B">
            <w:pPr>
              <w:jc w:val="center"/>
              <w:rPr>
                <w:sz w:val="18"/>
                <w:szCs w:val="18"/>
              </w:rPr>
            </w:pPr>
            <w:r w:rsidRPr="00631C1B">
              <w:rPr>
                <w:sz w:val="18"/>
                <w:szCs w:val="18"/>
              </w:rPr>
              <w:t>N/A</w:t>
            </w:r>
          </w:p>
        </w:tc>
      </w:tr>
      <w:tr w:rsidR="00954040" w:rsidRPr="00631C1B" w14:paraId="4B7274F0" w14:textId="77777777" w:rsidTr="00F10BBF">
        <w:trPr>
          <w:trHeight w:val="153"/>
        </w:trPr>
        <w:tc>
          <w:tcPr>
            <w:tcW w:w="756" w:type="pct"/>
            <w:tcBorders>
              <w:bottom w:val="nil"/>
              <w:right w:val="single" w:sz="4" w:space="0" w:color="auto"/>
            </w:tcBorders>
          </w:tcPr>
          <w:p w14:paraId="73AC2666" w14:textId="77777777" w:rsidR="00954040" w:rsidRPr="00631C1B" w:rsidRDefault="00954040" w:rsidP="009A3F2B">
            <w:pPr>
              <w:rPr>
                <w:sz w:val="18"/>
                <w:szCs w:val="18"/>
              </w:rPr>
            </w:pPr>
            <w:r w:rsidRPr="00631C1B">
              <w:rPr>
                <w:sz w:val="18"/>
                <w:szCs w:val="18"/>
              </w:rPr>
              <w:t>Stakeholders report on increasing confidence/capacity of young people</w:t>
            </w:r>
          </w:p>
        </w:tc>
        <w:tc>
          <w:tcPr>
            <w:tcW w:w="661" w:type="pct"/>
            <w:tcBorders>
              <w:left w:val="single" w:sz="4" w:space="0" w:color="auto"/>
              <w:bottom w:val="nil"/>
              <w:right w:val="single" w:sz="4" w:space="0" w:color="auto"/>
            </w:tcBorders>
          </w:tcPr>
          <w:p w14:paraId="2E4A0234" w14:textId="41A64F84" w:rsidR="00954040" w:rsidRPr="00631C1B" w:rsidRDefault="008846C4" w:rsidP="009A3F2B">
            <w:pPr>
              <w:jc w:val="center"/>
              <w:rPr>
                <w:sz w:val="18"/>
                <w:szCs w:val="18"/>
              </w:rPr>
            </w:pPr>
            <w:r w:rsidRPr="00631C1B">
              <w:rPr>
                <w:sz w:val="18"/>
                <w:szCs w:val="18"/>
              </w:rPr>
              <w:t>75%</w:t>
            </w:r>
          </w:p>
        </w:tc>
        <w:tc>
          <w:tcPr>
            <w:tcW w:w="473" w:type="pct"/>
            <w:tcBorders>
              <w:left w:val="single" w:sz="4" w:space="0" w:color="auto"/>
              <w:bottom w:val="nil"/>
              <w:right w:val="single" w:sz="4" w:space="0" w:color="auto"/>
            </w:tcBorders>
          </w:tcPr>
          <w:p w14:paraId="68435523" w14:textId="273A9AFE" w:rsidR="00954040" w:rsidRPr="00631C1B" w:rsidRDefault="00B327CA" w:rsidP="009A3F2B">
            <w:pPr>
              <w:jc w:val="center"/>
              <w:rPr>
                <w:color w:val="000000" w:themeColor="text1"/>
                <w:sz w:val="18"/>
                <w:szCs w:val="18"/>
              </w:rPr>
            </w:pPr>
            <w:r w:rsidRPr="00631C1B">
              <w:rPr>
                <w:color w:val="000000" w:themeColor="text1"/>
                <w:sz w:val="18"/>
                <w:szCs w:val="18"/>
              </w:rPr>
              <w:t>100%</w:t>
            </w:r>
          </w:p>
        </w:tc>
        <w:tc>
          <w:tcPr>
            <w:tcW w:w="756" w:type="pct"/>
            <w:tcBorders>
              <w:left w:val="single" w:sz="4" w:space="0" w:color="auto"/>
              <w:bottom w:val="nil"/>
              <w:right w:val="single" w:sz="4" w:space="0" w:color="auto"/>
            </w:tcBorders>
          </w:tcPr>
          <w:p w14:paraId="7A260E28" w14:textId="621A385E" w:rsidR="00954040" w:rsidRPr="00631C1B" w:rsidRDefault="00062744" w:rsidP="009A3F2B">
            <w:pPr>
              <w:jc w:val="center"/>
              <w:rPr>
                <w:sz w:val="18"/>
                <w:szCs w:val="18"/>
              </w:rPr>
            </w:pPr>
            <w:r w:rsidRPr="00631C1B">
              <w:rPr>
                <w:sz w:val="18"/>
                <w:szCs w:val="18"/>
              </w:rPr>
              <w:t>75%</w:t>
            </w:r>
          </w:p>
        </w:tc>
        <w:tc>
          <w:tcPr>
            <w:tcW w:w="474" w:type="pct"/>
            <w:tcBorders>
              <w:left w:val="single" w:sz="4" w:space="0" w:color="auto"/>
              <w:bottom w:val="nil"/>
              <w:right w:val="single" w:sz="4" w:space="0" w:color="auto"/>
            </w:tcBorders>
          </w:tcPr>
          <w:p w14:paraId="20FA0AB2" w14:textId="69D8F439" w:rsidR="00954040" w:rsidRPr="00631C1B" w:rsidRDefault="004125B1" w:rsidP="009A3F2B">
            <w:pPr>
              <w:jc w:val="center"/>
              <w:rPr>
                <w:sz w:val="18"/>
                <w:szCs w:val="18"/>
              </w:rPr>
            </w:pPr>
            <w:r w:rsidRPr="00631C1B">
              <w:rPr>
                <w:sz w:val="18"/>
                <w:szCs w:val="18"/>
              </w:rPr>
              <w:t>N/A</w:t>
            </w:r>
          </w:p>
        </w:tc>
        <w:tc>
          <w:tcPr>
            <w:tcW w:w="756" w:type="pct"/>
            <w:tcBorders>
              <w:left w:val="single" w:sz="4" w:space="0" w:color="auto"/>
              <w:bottom w:val="nil"/>
              <w:right w:val="single" w:sz="4" w:space="0" w:color="auto"/>
            </w:tcBorders>
          </w:tcPr>
          <w:p w14:paraId="33791360" w14:textId="77777777" w:rsidR="00954040" w:rsidRPr="00631C1B" w:rsidRDefault="00954040" w:rsidP="009A3F2B">
            <w:pPr>
              <w:jc w:val="center"/>
              <w:rPr>
                <w:sz w:val="18"/>
                <w:szCs w:val="18"/>
              </w:rPr>
            </w:pPr>
            <w:r w:rsidRPr="00631C1B">
              <w:rPr>
                <w:sz w:val="18"/>
                <w:szCs w:val="18"/>
              </w:rPr>
              <w:t>75%</w:t>
            </w:r>
          </w:p>
        </w:tc>
        <w:tc>
          <w:tcPr>
            <w:tcW w:w="473" w:type="pct"/>
            <w:tcBorders>
              <w:left w:val="single" w:sz="4" w:space="0" w:color="auto"/>
              <w:bottom w:val="nil"/>
              <w:right w:val="single" w:sz="4" w:space="0" w:color="auto"/>
            </w:tcBorders>
          </w:tcPr>
          <w:p w14:paraId="46E91301" w14:textId="06029046" w:rsidR="00954040" w:rsidRPr="00631C1B" w:rsidRDefault="009518D6" w:rsidP="009A3F2B">
            <w:pPr>
              <w:jc w:val="center"/>
              <w:rPr>
                <w:sz w:val="18"/>
                <w:szCs w:val="18"/>
              </w:rPr>
            </w:pPr>
            <w:r w:rsidRPr="00631C1B">
              <w:rPr>
                <w:sz w:val="18"/>
                <w:szCs w:val="18"/>
              </w:rPr>
              <w:t>100%</w:t>
            </w:r>
          </w:p>
        </w:tc>
        <w:tc>
          <w:tcPr>
            <w:tcW w:w="651" w:type="pct"/>
            <w:tcBorders>
              <w:left w:val="single" w:sz="4" w:space="0" w:color="auto"/>
              <w:bottom w:val="nil"/>
              <w:right w:val="single" w:sz="4" w:space="0" w:color="auto"/>
            </w:tcBorders>
          </w:tcPr>
          <w:p w14:paraId="768AF1FD" w14:textId="5C414236" w:rsidR="00954040" w:rsidRPr="00631C1B" w:rsidRDefault="00D41DDA" w:rsidP="00D41DDA">
            <w:pPr>
              <w:jc w:val="center"/>
              <w:rPr>
                <w:sz w:val="18"/>
                <w:szCs w:val="18"/>
              </w:rPr>
            </w:pPr>
            <w:r w:rsidRPr="00631C1B">
              <w:rPr>
                <w:sz w:val="18"/>
                <w:szCs w:val="18"/>
              </w:rPr>
              <w:t>+25%</w:t>
            </w:r>
          </w:p>
        </w:tc>
      </w:tr>
    </w:tbl>
    <w:p w14:paraId="538083FF" w14:textId="77777777" w:rsidR="00F10BBF" w:rsidRPr="00631C1B" w:rsidRDefault="00F10BBF" w:rsidP="00F10BBF">
      <w:pPr>
        <w:pStyle w:val="Source"/>
        <w:keepLines/>
        <w:spacing w:before="0"/>
      </w:pPr>
    </w:p>
    <w:p w14:paraId="00FD091D" w14:textId="64CAD559" w:rsidR="00954040" w:rsidRPr="00631C1B" w:rsidRDefault="00F10BBF" w:rsidP="00F10BBF">
      <w:pPr>
        <w:pStyle w:val="Source"/>
        <w:keepLines/>
        <w:spacing w:before="0"/>
      </w:pPr>
      <w:r w:rsidRPr="00631C1B">
        <w:t>Source: Creative Scotland / BOP Consulting (20</w:t>
      </w:r>
      <w:r w:rsidR="00540D8F" w:rsidRPr="00631C1B">
        <w:t>20</w:t>
      </w:r>
      <w:r w:rsidRPr="00631C1B">
        <w:t>)</w:t>
      </w:r>
    </w:p>
    <w:p w14:paraId="06533C8F" w14:textId="067C0CB2" w:rsidR="00954040" w:rsidRPr="00631C1B" w:rsidRDefault="00954040" w:rsidP="00954040">
      <w:pPr>
        <w:pStyle w:val="Caption"/>
      </w:pPr>
      <w:bookmarkStart w:id="27" w:name="_Toc42266743"/>
      <w:r w:rsidRPr="00631C1B">
        <w:lastRenderedPageBreak/>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8</w:t>
      </w:r>
      <w:r w:rsidRPr="00631C1B">
        <w:rPr>
          <w:noProof/>
        </w:rPr>
        <w:fldChar w:fldCharType="end"/>
      </w:r>
      <w:r w:rsidRPr="00631C1B">
        <w:t xml:space="preserve">  Progress towards targets in building capacity and confidence - based on grant offer letter – All years</w:t>
      </w:r>
      <w:bookmarkEnd w:id="27"/>
    </w:p>
    <w:tbl>
      <w:tblPr>
        <w:tblStyle w:val="BOPtable"/>
        <w:tblW w:w="5286" w:type="pct"/>
        <w:tblLayout w:type="fixed"/>
        <w:tblLook w:val="04A0" w:firstRow="1" w:lastRow="0" w:firstColumn="1" w:lastColumn="0" w:noHBand="0" w:noVBand="1"/>
      </w:tblPr>
      <w:tblGrid>
        <w:gridCol w:w="1134"/>
        <w:gridCol w:w="992"/>
        <w:gridCol w:w="710"/>
        <w:gridCol w:w="1134"/>
        <w:gridCol w:w="711"/>
        <w:gridCol w:w="1134"/>
        <w:gridCol w:w="710"/>
        <w:gridCol w:w="977"/>
      </w:tblGrid>
      <w:tr w:rsidR="00954040" w:rsidRPr="00631C1B" w14:paraId="0745661F" w14:textId="77777777" w:rsidTr="00A40B02">
        <w:trPr>
          <w:cnfStyle w:val="100000000000" w:firstRow="1" w:lastRow="0" w:firstColumn="0" w:lastColumn="0" w:oddVBand="0" w:evenVBand="0" w:oddHBand="0" w:evenHBand="0" w:firstRowFirstColumn="0" w:firstRowLastColumn="0" w:lastRowFirstColumn="0" w:lastRowLastColumn="0"/>
          <w:trHeight w:val="334"/>
        </w:trPr>
        <w:tc>
          <w:tcPr>
            <w:tcW w:w="756" w:type="pct"/>
            <w:tcBorders>
              <w:right w:val="single" w:sz="4" w:space="0" w:color="auto"/>
            </w:tcBorders>
          </w:tcPr>
          <w:p w14:paraId="4246F512" w14:textId="77777777" w:rsidR="00954040" w:rsidRPr="00631C1B" w:rsidRDefault="00954040" w:rsidP="009A3F2B"/>
        </w:tc>
        <w:tc>
          <w:tcPr>
            <w:tcW w:w="1134" w:type="pct"/>
            <w:gridSpan w:val="2"/>
            <w:tcBorders>
              <w:left w:val="single" w:sz="4" w:space="0" w:color="auto"/>
              <w:right w:val="single" w:sz="4" w:space="0" w:color="auto"/>
            </w:tcBorders>
          </w:tcPr>
          <w:p w14:paraId="37347E93" w14:textId="77777777" w:rsidR="00954040" w:rsidRPr="00631C1B" w:rsidRDefault="00954040" w:rsidP="009A3F2B">
            <w:pPr>
              <w:jc w:val="center"/>
            </w:pPr>
            <w:r w:rsidRPr="00631C1B">
              <w:t>Targeted Fund</w:t>
            </w:r>
          </w:p>
        </w:tc>
        <w:tc>
          <w:tcPr>
            <w:tcW w:w="1230" w:type="pct"/>
            <w:gridSpan w:val="2"/>
            <w:tcBorders>
              <w:left w:val="single" w:sz="4" w:space="0" w:color="auto"/>
              <w:right w:val="single" w:sz="4" w:space="0" w:color="auto"/>
            </w:tcBorders>
          </w:tcPr>
          <w:p w14:paraId="73E8AF7B" w14:textId="77777777" w:rsidR="00954040" w:rsidRPr="00631C1B" w:rsidRDefault="00954040" w:rsidP="009A3F2B">
            <w:pPr>
              <w:jc w:val="center"/>
            </w:pPr>
            <w:r w:rsidRPr="00631C1B">
              <w:t>Open Fund</w:t>
            </w:r>
          </w:p>
        </w:tc>
        <w:tc>
          <w:tcPr>
            <w:tcW w:w="1229" w:type="pct"/>
            <w:gridSpan w:val="2"/>
            <w:tcBorders>
              <w:left w:val="single" w:sz="4" w:space="0" w:color="auto"/>
              <w:right w:val="single" w:sz="4" w:space="0" w:color="auto"/>
            </w:tcBorders>
          </w:tcPr>
          <w:p w14:paraId="40A0F8F8" w14:textId="77777777" w:rsidR="00954040" w:rsidRPr="00631C1B" w:rsidRDefault="00954040" w:rsidP="009A3F2B">
            <w:pPr>
              <w:jc w:val="center"/>
            </w:pPr>
            <w:r w:rsidRPr="00631C1B">
              <w:t>Programme   Total</w:t>
            </w:r>
          </w:p>
        </w:tc>
        <w:tc>
          <w:tcPr>
            <w:tcW w:w="651" w:type="pct"/>
            <w:tcBorders>
              <w:left w:val="single" w:sz="4" w:space="0" w:color="auto"/>
              <w:right w:val="single" w:sz="4" w:space="0" w:color="auto"/>
            </w:tcBorders>
          </w:tcPr>
          <w:p w14:paraId="7A7C2286" w14:textId="77777777" w:rsidR="00954040" w:rsidRPr="00631C1B" w:rsidRDefault="00954040" w:rsidP="009A3F2B">
            <w:pPr>
              <w:jc w:val="center"/>
            </w:pPr>
          </w:p>
        </w:tc>
      </w:tr>
      <w:tr w:rsidR="00954040" w:rsidRPr="00631C1B" w14:paraId="04A35135" w14:textId="77777777" w:rsidTr="00A40B02">
        <w:trPr>
          <w:trHeight w:val="134"/>
        </w:trPr>
        <w:tc>
          <w:tcPr>
            <w:tcW w:w="756" w:type="pct"/>
            <w:tcBorders>
              <w:top w:val="single" w:sz="12" w:space="0" w:color="3C5896" w:themeColor="accent1"/>
              <w:bottom w:val="single" w:sz="12" w:space="0" w:color="3C5896" w:themeColor="accent1"/>
              <w:right w:val="single" w:sz="4" w:space="0" w:color="auto"/>
            </w:tcBorders>
          </w:tcPr>
          <w:p w14:paraId="0C6B550F" w14:textId="77777777" w:rsidR="00954040" w:rsidRPr="00631C1B" w:rsidRDefault="00954040" w:rsidP="009A3F2B"/>
        </w:tc>
        <w:tc>
          <w:tcPr>
            <w:tcW w:w="661" w:type="pct"/>
            <w:tcBorders>
              <w:top w:val="single" w:sz="12" w:space="0" w:color="3C5896" w:themeColor="accent1"/>
              <w:left w:val="single" w:sz="4" w:space="0" w:color="auto"/>
              <w:bottom w:val="single" w:sz="12" w:space="0" w:color="3C5896" w:themeColor="accent1"/>
              <w:right w:val="single" w:sz="4" w:space="0" w:color="auto"/>
            </w:tcBorders>
          </w:tcPr>
          <w:p w14:paraId="0CAAD0DB" w14:textId="77777777" w:rsidR="00954040" w:rsidRPr="00631C1B" w:rsidRDefault="00954040" w:rsidP="009A3F2B">
            <w:pPr>
              <w:jc w:val="center"/>
              <w:rPr>
                <w:b/>
                <w:color w:val="3C5896"/>
                <w:sz w:val="18"/>
              </w:rPr>
            </w:pPr>
            <w:r w:rsidRPr="00631C1B">
              <w:rPr>
                <w:b/>
                <w:color w:val="3C5896"/>
                <w:sz w:val="18"/>
              </w:rPr>
              <w:t>Grant offer letter target</w:t>
            </w:r>
          </w:p>
        </w:tc>
        <w:tc>
          <w:tcPr>
            <w:tcW w:w="473" w:type="pct"/>
            <w:tcBorders>
              <w:top w:val="single" w:sz="12" w:space="0" w:color="3C5896" w:themeColor="accent1"/>
              <w:left w:val="single" w:sz="4" w:space="0" w:color="auto"/>
              <w:bottom w:val="single" w:sz="12" w:space="0" w:color="3C5896" w:themeColor="accent1"/>
              <w:right w:val="single" w:sz="4" w:space="0" w:color="auto"/>
            </w:tcBorders>
          </w:tcPr>
          <w:p w14:paraId="101B2213" w14:textId="77777777" w:rsidR="00954040" w:rsidRPr="00631C1B" w:rsidRDefault="00954040" w:rsidP="009A3F2B">
            <w:pPr>
              <w:jc w:val="center"/>
              <w:rPr>
                <w:b/>
                <w:color w:val="3C5896"/>
                <w:sz w:val="18"/>
              </w:rPr>
            </w:pPr>
            <w:r w:rsidRPr="00631C1B">
              <w:rPr>
                <w:b/>
                <w:color w:val="3C5896"/>
                <w:sz w:val="18"/>
              </w:rPr>
              <w:t>Actual</w:t>
            </w:r>
          </w:p>
        </w:tc>
        <w:tc>
          <w:tcPr>
            <w:tcW w:w="756" w:type="pct"/>
            <w:tcBorders>
              <w:top w:val="single" w:sz="12" w:space="0" w:color="3C5896" w:themeColor="accent1"/>
              <w:left w:val="single" w:sz="4" w:space="0" w:color="auto"/>
              <w:bottom w:val="single" w:sz="12" w:space="0" w:color="3C5896" w:themeColor="accent1"/>
              <w:right w:val="single" w:sz="4" w:space="0" w:color="auto"/>
            </w:tcBorders>
          </w:tcPr>
          <w:p w14:paraId="7BF6F56F" w14:textId="77777777" w:rsidR="00954040" w:rsidRPr="00631C1B" w:rsidRDefault="00954040" w:rsidP="009A3F2B">
            <w:pPr>
              <w:jc w:val="center"/>
              <w:rPr>
                <w:b/>
                <w:color w:val="3C5896"/>
                <w:sz w:val="18"/>
              </w:rPr>
            </w:pPr>
            <w:r w:rsidRPr="00631C1B">
              <w:rPr>
                <w:b/>
                <w:color w:val="3C5896"/>
                <w:sz w:val="18"/>
              </w:rPr>
              <w:t>Grant offer letter target</w:t>
            </w:r>
          </w:p>
        </w:tc>
        <w:tc>
          <w:tcPr>
            <w:tcW w:w="474" w:type="pct"/>
            <w:tcBorders>
              <w:top w:val="single" w:sz="12" w:space="0" w:color="3C5896" w:themeColor="accent1"/>
              <w:left w:val="single" w:sz="4" w:space="0" w:color="auto"/>
              <w:bottom w:val="single" w:sz="12" w:space="0" w:color="3C5896" w:themeColor="accent1"/>
              <w:right w:val="single" w:sz="4" w:space="0" w:color="auto"/>
            </w:tcBorders>
          </w:tcPr>
          <w:p w14:paraId="4C32AEEA" w14:textId="77777777" w:rsidR="00954040" w:rsidRPr="00631C1B" w:rsidRDefault="00954040" w:rsidP="009A3F2B">
            <w:pPr>
              <w:jc w:val="center"/>
              <w:rPr>
                <w:b/>
                <w:color w:val="3C5896"/>
                <w:sz w:val="18"/>
              </w:rPr>
            </w:pPr>
            <w:r w:rsidRPr="00631C1B">
              <w:rPr>
                <w:b/>
                <w:color w:val="3C5896"/>
                <w:sz w:val="18"/>
              </w:rPr>
              <w:t>Actual</w:t>
            </w:r>
          </w:p>
        </w:tc>
        <w:tc>
          <w:tcPr>
            <w:tcW w:w="756" w:type="pct"/>
            <w:tcBorders>
              <w:top w:val="single" w:sz="12" w:space="0" w:color="3C5896" w:themeColor="accent1"/>
              <w:left w:val="single" w:sz="4" w:space="0" w:color="auto"/>
              <w:bottom w:val="single" w:sz="12" w:space="0" w:color="3C5896" w:themeColor="accent1"/>
              <w:right w:val="single" w:sz="4" w:space="0" w:color="auto"/>
            </w:tcBorders>
          </w:tcPr>
          <w:p w14:paraId="4F6D3022" w14:textId="77777777" w:rsidR="00954040" w:rsidRPr="00631C1B" w:rsidRDefault="00954040" w:rsidP="009A3F2B">
            <w:pPr>
              <w:jc w:val="center"/>
              <w:rPr>
                <w:b/>
                <w:color w:val="3C5896"/>
                <w:sz w:val="18"/>
              </w:rPr>
            </w:pPr>
            <w:r w:rsidRPr="00631C1B">
              <w:rPr>
                <w:b/>
                <w:color w:val="3C5896"/>
                <w:sz w:val="18"/>
              </w:rPr>
              <w:t>Grant offer letter target</w:t>
            </w:r>
          </w:p>
        </w:tc>
        <w:tc>
          <w:tcPr>
            <w:tcW w:w="473" w:type="pct"/>
            <w:tcBorders>
              <w:top w:val="single" w:sz="12" w:space="0" w:color="3C5896" w:themeColor="accent1"/>
              <w:left w:val="single" w:sz="4" w:space="0" w:color="auto"/>
              <w:bottom w:val="single" w:sz="12" w:space="0" w:color="3C5896" w:themeColor="accent1"/>
              <w:right w:val="single" w:sz="4" w:space="0" w:color="auto"/>
            </w:tcBorders>
          </w:tcPr>
          <w:p w14:paraId="2ADC5C1F" w14:textId="77777777" w:rsidR="00954040" w:rsidRPr="00631C1B" w:rsidRDefault="00954040" w:rsidP="009A3F2B">
            <w:pPr>
              <w:jc w:val="center"/>
              <w:rPr>
                <w:b/>
                <w:color w:val="3C5896"/>
                <w:sz w:val="18"/>
              </w:rPr>
            </w:pPr>
            <w:r w:rsidRPr="00631C1B">
              <w:rPr>
                <w:b/>
                <w:color w:val="3C5896"/>
                <w:sz w:val="18"/>
              </w:rPr>
              <w:t>Actual</w:t>
            </w:r>
          </w:p>
        </w:tc>
        <w:tc>
          <w:tcPr>
            <w:tcW w:w="651" w:type="pct"/>
            <w:tcBorders>
              <w:top w:val="single" w:sz="12" w:space="0" w:color="3C5896" w:themeColor="accent1"/>
              <w:left w:val="single" w:sz="4" w:space="0" w:color="auto"/>
              <w:bottom w:val="single" w:sz="12" w:space="0" w:color="3C5896" w:themeColor="accent1"/>
              <w:right w:val="nil"/>
            </w:tcBorders>
          </w:tcPr>
          <w:p w14:paraId="62C6EDF2" w14:textId="77777777" w:rsidR="00954040" w:rsidRPr="00631C1B" w:rsidRDefault="00954040" w:rsidP="00A40B02">
            <w:pPr>
              <w:jc w:val="center"/>
              <w:rPr>
                <w:b/>
                <w:color w:val="3C5896"/>
                <w:sz w:val="18"/>
              </w:rPr>
            </w:pPr>
            <w:r w:rsidRPr="00631C1B">
              <w:rPr>
                <w:b/>
                <w:color w:val="3C5896"/>
                <w:sz w:val="18"/>
              </w:rPr>
              <w:t>Variance</w:t>
            </w:r>
          </w:p>
        </w:tc>
      </w:tr>
      <w:tr w:rsidR="00BF0189" w:rsidRPr="00631C1B" w14:paraId="30729CBC" w14:textId="77777777" w:rsidTr="00F10BBF">
        <w:trPr>
          <w:trHeight w:val="111"/>
        </w:trPr>
        <w:tc>
          <w:tcPr>
            <w:tcW w:w="756" w:type="pct"/>
            <w:tcBorders>
              <w:top w:val="single" w:sz="12" w:space="0" w:color="3C5896" w:themeColor="accent1"/>
              <w:right w:val="single" w:sz="4" w:space="0" w:color="auto"/>
            </w:tcBorders>
          </w:tcPr>
          <w:p w14:paraId="086F0E23" w14:textId="77777777" w:rsidR="00BF0189" w:rsidRPr="00631C1B" w:rsidRDefault="00BF0189" w:rsidP="00BF0189">
            <w:pPr>
              <w:rPr>
                <w:sz w:val="18"/>
                <w:szCs w:val="18"/>
              </w:rPr>
            </w:pPr>
            <w:r w:rsidRPr="00631C1B">
              <w:rPr>
                <w:sz w:val="18"/>
                <w:szCs w:val="18"/>
              </w:rPr>
              <w:t>Young people report their confidence increasing</w:t>
            </w:r>
          </w:p>
        </w:tc>
        <w:tc>
          <w:tcPr>
            <w:tcW w:w="661" w:type="pct"/>
            <w:tcBorders>
              <w:top w:val="single" w:sz="12" w:space="0" w:color="3C5896" w:themeColor="accent1"/>
              <w:left w:val="single" w:sz="4" w:space="0" w:color="auto"/>
              <w:right w:val="single" w:sz="4" w:space="0" w:color="auto"/>
            </w:tcBorders>
          </w:tcPr>
          <w:p w14:paraId="277E0AD1" w14:textId="6F6FD914" w:rsidR="00BF0189" w:rsidRPr="00631C1B" w:rsidRDefault="00167B2E" w:rsidP="00BF0189">
            <w:pPr>
              <w:jc w:val="center"/>
              <w:rPr>
                <w:sz w:val="18"/>
                <w:szCs w:val="18"/>
              </w:rPr>
            </w:pPr>
            <w:r w:rsidRPr="00631C1B">
              <w:rPr>
                <w:sz w:val="18"/>
                <w:szCs w:val="18"/>
              </w:rPr>
              <w:t>6,000</w:t>
            </w:r>
          </w:p>
        </w:tc>
        <w:tc>
          <w:tcPr>
            <w:tcW w:w="473" w:type="pct"/>
            <w:tcBorders>
              <w:top w:val="single" w:sz="12" w:space="0" w:color="3C5896" w:themeColor="accent1"/>
              <w:left w:val="single" w:sz="4" w:space="0" w:color="auto"/>
              <w:right w:val="single" w:sz="4" w:space="0" w:color="auto"/>
            </w:tcBorders>
          </w:tcPr>
          <w:p w14:paraId="2971ACF3" w14:textId="6C551C8D" w:rsidR="00BF0189" w:rsidRPr="00631C1B" w:rsidRDefault="00C336F6" w:rsidP="00BF0189">
            <w:pPr>
              <w:jc w:val="center"/>
              <w:rPr>
                <w:sz w:val="18"/>
                <w:szCs w:val="18"/>
              </w:rPr>
            </w:pPr>
            <w:r w:rsidRPr="00631C1B">
              <w:rPr>
                <w:sz w:val="18"/>
                <w:szCs w:val="18"/>
              </w:rPr>
              <w:t>5,</w:t>
            </w:r>
            <w:r w:rsidR="005C038E" w:rsidRPr="00631C1B">
              <w:rPr>
                <w:sz w:val="18"/>
                <w:szCs w:val="18"/>
              </w:rPr>
              <w:t>644</w:t>
            </w:r>
          </w:p>
        </w:tc>
        <w:tc>
          <w:tcPr>
            <w:tcW w:w="756" w:type="pct"/>
            <w:tcBorders>
              <w:top w:val="single" w:sz="12" w:space="0" w:color="3C5896" w:themeColor="accent1"/>
              <w:left w:val="single" w:sz="4" w:space="0" w:color="auto"/>
              <w:right w:val="single" w:sz="4" w:space="0" w:color="auto"/>
            </w:tcBorders>
          </w:tcPr>
          <w:p w14:paraId="0904A286" w14:textId="6F0415F9" w:rsidR="00BF0189" w:rsidRPr="00631C1B" w:rsidRDefault="00013D2D" w:rsidP="00BF0189">
            <w:pPr>
              <w:jc w:val="center"/>
              <w:rPr>
                <w:sz w:val="18"/>
                <w:szCs w:val="18"/>
              </w:rPr>
            </w:pPr>
            <w:r w:rsidRPr="00631C1B">
              <w:rPr>
                <w:sz w:val="18"/>
                <w:szCs w:val="18"/>
              </w:rPr>
              <w:t>7,500</w:t>
            </w:r>
          </w:p>
        </w:tc>
        <w:tc>
          <w:tcPr>
            <w:tcW w:w="474" w:type="pct"/>
            <w:tcBorders>
              <w:top w:val="single" w:sz="12" w:space="0" w:color="3C5896" w:themeColor="accent1"/>
              <w:left w:val="single" w:sz="4" w:space="0" w:color="auto"/>
              <w:right w:val="single" w:sz="4" w:space="0" w:color="auto"/>
            </w:tcBorders>
          </w:tcPr>
          <w:p w14:paraId="11DBA3A8" w14:textId="57642C9D" w:rsidR="00BF0189" w:rsidRPr="00631C1B" w:rsidRDefault="00C81E4E" w:rsidP="00BF0189">
            <w:pPr>
              <w:jc w:val="center"/>
              <w:rPr>
                <w:sz w:val="18"/>
                <w:szCs w:val="18"/>
              </w:rPr>
            </w:pPr>
            <w:r w:rsidRPr="00631C1B">
              <w:rPr>
                <w:sz w:val="18"/>
                <w:szCs w:val="18"/>
              </w:rPr>
              <w:t>5,2</w:t>
            </w:r>
            <w:r w:rsidR="00BD0639" w:rsidRPr="00631C1B">
              <w:rPr>
                <w:sz w:val="18"/>
                <w:szCs w:val="18"/>
              </w:rPr>
              <w:t>18</w:t>
            </w:r>
          </w:p>
        </w:tc>
        <w:tc>
          <w:tcPr>
            <w:tcW w:w="756" w:type="pct"/>
            <w:tcBorders>
              <w:top w:val="single" w:sz="12" w:space="0" w:color="3C5896" w:themeColor="accent1"/>
              <w:left w:val="single" w:sz="4" w:space="0" w:color="auto"/>
              <w:right w:val="single" w:sz="4" w:space="0" w:color="auto"/>
            </w:tcBorders>
          </w:tcPr>
          <w:p w14:paraId="3222279E" w14:textId="23D3257D" w:rsidR="00BF0189" w:rsidRPr="00631C1B" w:rsidRDefault="00BF0189" w:rsidP="00BF0189">
            <w:pPr>
              <w:jc w:val="center"/>
              <w:rPr>
                <w:sz w:val="18"/>
                <w:szCs w:val="18"/>
              </w:rPr>
            </w:pPr>
            <w:r w:rsidRPr="00631C1B">
              <w:rPr>
                <w:sz w:val="18"/>
                <w:szCs w:val="18"/>
              </w:rPr>
              <w:t>13,500</w:t>
            </w:r>
          </w:p>
        </w:tc>
        <w:tc>
          <w:tcPr>
            <w:tcW w:w="473" w:type="pct"/>
            <w:tcBorders>
              <w:top w:val="single" w:sz="12" w:space="0" w:color="3C5896" w:themeColor="accent1"/>
              <w:left w:val="single" w:sz="4" w:space="0" w:color="auto"/>
              <w:right w:val="single" w:sz="4" w:space="0" w:color="auto"/>
            </w:tcBorders>
          </w:tcPr>
          <w:p w14:paraId="6356AC17" w14:textId="595D141A" w:rsidR="00BF0189" w:rsidRPr="00631C1B" w:rsidRDefault="00FB4555" w:rsidP="00BF0189">
            <w:pPr>
              <w:jc w:val="center"/>
              <w:rPr>
                <w:sz w:val="18"/>
                <w:szCs w:val="18"/>
              </w:rPr>
            </w:pPr>
            <w:r w:rsidRPr="00631C1B">
              <w:rPr>
                <w:sz w:val="18"/>
                <w:szCs w:val="18"/>
              </w:rPr>
              <w:t>10,862</w:t>
            </w:r>
          </w:p>
        </w:tc>
        <w:tc>
          <w:tcPr>
            <w:tcW w:w="651" w:type="pct"/>
            <w:tcBorders>
              <w:top w:val="single" w:sz="12" w:space="0" w:color="3C5896" w:themeColor="accent1"/>
              <w:left w:val="single" w:sz="4" w:space="0" w:color="auto"/>
              <w:right w:val="single" w:sz="4" w:space="0" w:color="auto"/>
            </w:tcBorders>
          </w:tcPr>
          <w:p w14:paraId="0F14EA71" w14:textId="0472A376" w:rsidR="00BF0189" w:rsidRPr="00631C1B" w:rsidRDefault="00D37982" w:rsidP="00BF0189">
            <w:pPr>
              <w:jc w:val="center"/>
              <w:rPr>
                <w:sz w:val="18"/>
                <w:szCs w:val="18"/>
              </w:rPr>
            </w:pPr>
            <w:r w:rsidRPr="00631C1B">
              <w:rPr>
                <w:sz w:val="18"/>
                <w:szCs w:val="18"/>
              </w:rPr>
              <w:t>-2,638</w:t>
            </w:r>
          </w:p>
        </w:tc>
      </w:tr>
      <w:tr w:rsidR="00BF0189" w:rsidRPr="00631C1B" w14:paraId="632B9885" w14:textId="77777777" w:rsidTr="00F10BBF">
        <w:trPr>
          <w:trHeight w:val="122"/>
        </w:trPr>
        <w:tc>
          <w:tcPr>
            <w:tcW w:w="756" w:type="pct"/>
            <w:tcBorders>
              <w:right w:val="single" w:sz="4" w:space="0" w:color="auto"/>
            </w:tcBorders>
          </w:tcPr>
          <w:p w14:paraId="37F3AE2A" w14:textId="77777777" w:rsidR="00BF0189" w:rsidRPr="00631C1B" w:rsidRDefault="00BF0189" w:rsidP="00BF0189">
            <w:pPr>
              <w:rPr>
                <w:sz w:val="18"/>
                <w:szCs w:val="18"/>
              </w:rPr>
            </w:pPr>
            <w:r w:rsidRPr="00631C1B">
              <w:rPr>
                <w:sz w:val="18"/>
                <w:szCs w:val="18"/>
              </w:rPr>
              <w:t>Young people feel able to do new things</w:t>
            </w:r>
          </w:p>
        </w:tc>
        <w:tc>
          <w:tcPr>
            <w:tcW w:w="661" w:type="pct"/>
            <w:tcBorders>
              <w:left w:val="single" w:sz="4" w:space="0" w:color="auto"/>
              <w:right w:val="single" w:sz="4" w:space="0" w:color="auto"/>
            </w:tcBorders>
          </w:tcPr>
          <w:p w14:paraId="1A6D613E" w14:textId="5F281A81" w:rsidR="00BF0189" w:rsidRPr="00631C1B" w:rsidRDefault="00167B2E" w:rsidP="00BF0189">
            <w:pPr>
              <w:jc w:val="center"/>
              <w:rPr>
                <w:sz w:val="18"/>
                <w:szCs w:val="18"/>
              </w:rPr>
            </w:pPr>
            <w:r w:rsidRPr="00631C1B">
              <w:rPr>
                <w:sz w:val="18"/>
                <w:szCs w:val="18"/>
              </w:rPr>
              <w:t>6,000</w:t>
            </w:r>
          </w:p>
        </w:tc>
        <w:tc>
          <w:tcPr>
            <w:tcW w:w="473" w:type="pct"/>
            <w:tcBorders>
              <w:left w:val="single" w:sz="4" w:space="0" w:color="auto"/>
              <w:right w:val="single" w:sz="4" w:space="0" w:color="auto"/>
            </w:tcBorders>
          </w:tcPr>
          <w:p w14:paraId="71385525" w14:textId="4C544178" w:rsidR="00BF0189" w:rsidRPr="00631C1B" w:rsidRDefault="005C038E" w:rsidP="00BF0189">
            <w:pPr>
              <w:jc w:val="center"/>
              <w:rPr>
                <w:sz w:val="18"/>
                <w:szCs w:val="18"/>
              </w:rPr>
            </w:pPr>
            <w:r w:rsidRPr="00631C1B">
              <w:rPr>
                <w:sz w:val="18"/>
                <w:szCs w:val="18"/>
              </w:rPr>
              <w:t>5,469</w:t>
            </w:r>
          </w:p>
        </w:tc>
        <w:tc>
          <w:tcPr>
            <w:tcW w:w="756" w:type="pct"/>
            <w:tcBorders>
              <w:left w:val="single" w:sz="4" w:space="0" w:color="auto"/>
              <w:right w:val="single" w:sz="4" w:space="0" w:color="auto"/>
            </w:tcBorders>
          </w:tcPr>
          <w:p w14:paraId="1927738A" w14:textId="6F099EAD" w:rsidR="00BF0189" w:rsidRPr="00631C1B" w:rsidRDefault="00013D2D" w:rsidP="00BF0189">
            <w:pPr>
              <w:jc w:val="center"/>
              <w:rPr>
                <w:sz w:val="18"/>
                <w:szCs w:val="18"/>
              </w:rPr>
            </w:pPr>
            <w:r w:rsidRPr="00631C1B">
              <w:rPr>
                <w:sz w:val="18"/>
                <w:szCs w:val="18"/>
              </w:rPr>
              <w:t>7,500</w:t>
            </w:r>
          </w:p>
        </w:tc>
        <w:tc>
          <w:tcPr>
            <w:tcW w:w="474" w:type="pct"/>
            <w:tcBorders>
              <w:left w:val="single" w:sz="4" w:space="0" w:color="auto"/>
              <w:right w:val="single" w:sz="4" w:space="0" w:color="auto"/>
            </w:tcBorders>
          </w:tcPr>
          <w:p w14:paraId="19883BCB" w14:textId="09D746F3" w:rsidR="00BF0189" w:rsidRPr="00631C1B" w:rsidRDefault="008242DA" w:rsidP="00BF0189">
            <w:pPr>
              <w:jc w:val="center"/>
              <w:rPr>
                <w:sz w:val="18"/>
                <w:szCs w:val="18"/>
              </w:rPr>
            </w:pPr>
            <w:r w:rsidRPr="00631C1B">
              <w:rPr>
                <w:sz w:val="18"/>
                <w:szCs w:val="18"/>
              </w:rPr>
              <w:t>5,227</w:t>
            </w:r>
          </w:p>
        </w:tc>
        <w:tc>
          <w:tcPr>
            <w:tcW w:w="756" w:type="pct"/>
            <w:tcBorders>
              <w:left w:val="single" w:sz="4" w:space="0" w:color="auto"/>
              <w:right w:val="single" w:sz="4" w:space="0" w:color="auto"/>
            </w:tcBorders>
          </w:tcPr>
          <w:p w14:paraId="1A6A993D" w14:textId="415C92BA" w:rsidR="00BF0189" w:rsidRPr="00631C1B" w:rsidRDefault="00BF0189" w:rsidP="00BF0189">
            <w:pPr>
              <w:jc w:val="center"/>
              <w:rPr>
                <w:sz w:val="18"/>
                <w:szCs w:val="18"/>
              </w:rPr>
            </w:pPr>
            <w:r w:rsidRPr="00631C1B">
              <w:rPr>
                <w:sz w:val="18"/>
                <w:szCs w:val="18"/>
              </w:rPr>
              <w:t>13,500</w:t>
            </w:r>
          </w:p>
        </w:tc>
        <w:tc>
          <w:tcPr>
            <w:tcW w:w="473" w:type="pct"/>
            <w:tcBorders>
              <w:left w:val="single" w:sz="4" w:space="0" w:color="auto"/>
              <w:right w:val="single" w:sz="4" w:space="0" w:color="auto"/>
            </w:tcBorders>
          </w:tcPr>
          <w:p w14:paraId="06857F5F" w14:textId="60828D1C" w:rsidR="00BF0189" w:rsidRPr="00631C1B" w:rsidRDefault="00FB4555" w:rsidP="00BF0189">
            <w:pPr>
              <w:jc w:val="center"/>
              <w:rPr>
                <w:sz w:val="18"/>
                <w:szCs w:val="18"/>
              </w:rPr>
            </w:pPr>
            <w:r w:rsidRPr="00631C1B">
              <w:rPr>
                <w:sz w:val="18"/>
                <w:szCs w:val="18"/>
              </w:rPr>
              <w:t>10,696</w:t>
            </w:r>
          </w:p>
        </w:tc>
        <w:tc>
          <w:tcPr>
            <w:tcW w:w="651" w:type="pct"/>
            <w:tcBorders>
              <w:left w:val="single" w:sz="4" w:space="0" w:color="auto"/>
              <w:right w:val="single" w:sz="4" w:space="0" w:color="auto"/>
            </w:tcBorders>
          </w:tcPr>
          <w:p w14:paraId="4A741A8E" w14:textId="491FEB54" w:rsidR="00BF0189" w:rsidRPr="00631C1B" w:rsidRDefault="00D37982" w:rsidP="00BF0189">
            <w:pPr>
              <w:jc w:val="center"/>
              <w:rPr>
                <w:sz w:val="18"/>
                <w:szCs w:val="18"/>
              </w:rPr>
            </w:pPr>
            <w:r w:rsidRPr="00631C1B">
              <w:rPr>
                <w:sz w:val="18"/>
                <w:szCs w:val="18"/>
              </w:rPr>
              <w:t>-2,804</w:t>
            </w:r>
          </w:p>
        </w:tc>
      </w:tr>
      <w:tr w:rsidR="00BF0189" w:rsidRPr="00631C1B" w14:paraId="2CBF593A" w14:textId="77777777" w:rsidTr="00F10BBF">
        <w:trPr>
          <w:trHeight w:val="147"/>
        </w:trPr>
        <w:tc>
          <w:tcPr>
            <w:tcW w:w="756" w:type="pct"/>
            <w:tcBorders>
              <w:right w:val="single" w:sz="4" w:space="0" w:color="auto"/>
            </w:tcBorders>
          </w:tcPr>
          <w:p w14:paraId="1A87057A" w14:textId="64A13E82" w:rsidR="00BF0189" w:rsidRPr="00631C1B" w:rsidRDefault="00BF0189" w:rsidP="00BF0189">
            <w:pPr>
              <w:rPr>
                <w:sz w:val="18"/>
                <w:szCs w:val="18"/>
              </w:rPr>
            </w:pPr>
            <w:r w:rsidRPr="00631C1B">
              <w:rPr>
                <w:sz w:val="18"/>
                <w:szCs w:val="18"/>
              </w:rPr>
              <w:t xml:space="preserve">Young people go on to do new things after their initial </w:t>
            </w:r>
            <w:proofErr w:type="spellStart"/>
            <w:r w:rsidR="00281FAF" w:rsidRPr="00631C1B">
              <w:rPr>
                <w:sz w:val="18"/>
                <w:szCs w:val="18"/>
              </w:rPr>
              <w:t>CashBack</w:t>
            </w:r>
            <w:proofErr w:type="spellEnd"/>
            <w:r w:rsidRPr="00631C1B">
              <w:rPr>
                <w:sz w:val="18"/>
                <w:szCs w:val="18"/>
              </w:rPr>
              <w:t xml:space="preserve"> involvement</w:t>
            </w:r>
          </w:p>
        </w:tc>
        <w:tc>
          <w:tcPr>
            <w:tcW w:w="661" w:type="pct"/>
            <w:tcBorders>
              <w:left w:val="single" w:sz="4" w:space="0" w:color="auto"/>
              <w:right w:val="single" w:sz="4" w:space="0" w:color="auto"/>
            </w:tcBorders>
          </w:tcPr>
          <w:p w14:paraId="48E9E705" w14:textId="77777777" w:rsidR="00BF0189" w:rsidRPr="00631C1B" w:rsidRDefault="00BF0189" w:rsidP="00BF0189">
            <w:pPr>
              <w:jc w:val="center"/>
              <w:rPr>
                <w:sz w:val="18"/>
                <w:szCs w:val="18"/>
              </w:rPr>
            </w:pPr>
            <w:r w:rsidRPr="00631C1B">
              <w:rPr>
                <w:sz w:val="18"/>
                <w:szCs w:val="18"/>
              </w:rPr>
              <w:t>N/A</w:t>
            </w:r>
          </w:p>
        </w:tc>
        <w:tc>
          <w:tcPr>
            <w:tcW w:w="473" w:type="pct"/>
            <w:tcBorders>
              <w:left w:val="single" w:sz="4" w:space="0" w:color="auto"/>
              <w:right w:val="single" w:sz="4" w:space="0" w:color="auto"/>
            </w:tcBorders>
          </w:tcPr>
          <w:p w14:paraId="50509284" w14:textId="325DFB20" w:rsidR="00BF0189" w:rsidRPr="00631C1B" w:rsidRDefault="005C038E" w:rsidP="00BF0189">
            <w:pPr>
              <w:jc w:val="center"/>
              <w:rPr>
                <w:sz w:val="18"/>
                <w:szCs w:val="18"/>
              </w:rPr>
            </w:pPr>
            <w:r w:rsidRPr="00631C1B">
              <w:rPr>
                <w:sz w:val="18"/>
                <w:szCs w:val="18"/>
              </w:rPr>
              <w:t>3,223</w:t>
            </w:r>
          </w:p>
        </w:tc>
        <w:tc>
          <w:tcPr>
            <w:tcW w:w="756" w:type="pct"/>
            <w:tcBorders>
              <w:left w:val="single" w:sz="4" w:space="0" w:color="auto"/>
              <w:right w:val="single" w:sz="4" w:space="0" w:color="auto"/>
            </w:tcBorders>
          </w:tcPr>
          <w:p w14:paraId="3E11BAC7" w14:textId="77777777" w:rsidR="00BF0189" w:rsidRPr="00631C1B" w:rsidRDefault="00BF0189" w:rsidP="00BF0189">
            <w:pPr>
              <w:jc w:val="center"/>
              <w:rPr>
                <w:sz w:val="18"/>
                <w:szCs w:val="18"/>
              </w:rPr>
            </w:pPr>
            <w:r w:rsidRPr="00631C1B">
              <w:rPr>
                <w:sz w:val="18"/>
                <w:szCs w:val="18"/>
              </w:rPr>
              <w:t>N/A</w:t>
            </w:r>
          </w:p>
        </w:tc>
        <w:tc>
          <w:tcPr>
            <w:tcW w:w="474" w:type="pct"/>
            <w:tcBorders>
              <w:left w:val="single" w:sz="4" w:space="0" w:color="auto"/>
              <w:right w:val="single" w:sz="4" w:space="0" w:color="auto"/>
            </w:tcBorders>
          </w:tcPr>
          <w:p w14:paraId="4937428D" w14:textId="39105A2D" w:rsidR="00BF0189" w:rsidRPr="00631C1B" w:rsidRDefault="00BD0639" w:rsidP="00BF0189">
            <w:pPr>
              <w:jc w:val="center"/>
              <w:rPr>
                <w:sz w:val="18"/>
                <w:szCs w:val="18"/>
              </w:rPr>
            </w:pPr>
            <w:r w:rsidRPr="00631C1B">
              <w:rPr>
                <w:sz w:val="18"/>
                <w:szCs w:val="18"/>
              </w:rPr>
              <w:t>0</w:t>
            </w:r>
          </w:p>
        </w:tc>
        <w:tc>
          <w:tcPr>
            <w:tcW w:w="756" w:type="pct"/>
            <w:tcBorders>
              <w:left w:val="single" w:sz="4" w:space="0" w:color="auto"/>
              <w:right w:val="single" w:sz="4" w:space="0" w:color="auto"/>
            </w:tcBorders>
          </w:tcPr>
          <w:p w14:paraId="68010864" w14:textId="1C54DF21" w:rsidR="00BF0189" w:rsidRPr="00631C1B" w:rsidRDefault="00BF0189" w:rsidP="00BF0189">
            <w:pPr>
              <w:jc w:val="center"/>
              <w:rPr>
                <w:sz w:val="18"/>
                <w:szCs w:val="18"/>
              </w:rPr>
            </w:pPr>
            <w:r w:rsidRPr="00631C1B">
              <w:rPr>
                <w:sz w:val="18"/>
                <w:szCs w:val="18"/>
              </w:rPr>
              <w:t>N/A</w:t>
            </w:r>
          </w:p>
        </w:tc>
        <w:tc>
          <w:tcPr>
            <w:tcW w:w="473" w:type="pct"/>
            <w:tcBorders>
              <w:left w:val="single" w:sz="4" w:space="0" w:color="auto"/>
              <w:right w:val="single" w:sz="4" w:space="0" w:color="auto"/>
            </w:tcBorders>
          </w:tcPr>
          <w:p w14:paraId="0AABD71F" w14:textId="218FB38A" w:rsidR="00BF0189" w:rsidRPr="00631C1B" w:rsidRDefault="00926878" w:rsidP="00BF0189">
            <w:pPr>
              <w:jc w:val="center"/>
              <w:rPr>
                <w:sz w:val="18"/>
                <w:szCs w:val="18"/>
              </w:rPr>
            </w:pPr>
            <w:r w:rsidRPr="00631C1B">
              <w:rPr>
                <w:sz w:val="18"/>
                <w:szCs w:val="18"/>
              </w:rPr>
              <w:t>3,223</w:t>
            </w:r>
          </w:p>
        </w:tc>
        <w:tc>
          <w:tcPr>
            <w:tcW w:w="651" w:type="pct"/>
            <w:tcBorders>
              <w:left w:val="single" w:sz="4" w:space="0" w:color="auto"/>
              <w:right w:val="single" w:sz="4" w:space="0" w:color="auto"/>
            </w:tcBorders>
          </w:tcPr>
          <w:p w14:paraId="7D687E39" w14:textId="4473F07B" w:rsidR="00BF0189" w:rsidRPr="00631C1B" w:rsidRDefault="00D10C4C" w:rsidP="00BF0189">
            <w:pPr>
              <w:jc w:val="center"/>
              <w:rPr>
                <w:sz w:val="18"/>
                <w:szCs w:val="18"/>
              </w:rPr>
            </w:pPr>
            <w:r w:rsidRPr="00631C1B">
              <w:rPr>
                <w:sz w:val="18"/>
                <w:szCs w:val="18"/>
              </w:rPr>
              <w:t>N/A</w:t>
            </w:r>
          </w:p>
        </w:tc>
      </w:tr>
      <w:tr w:rsidR="00A40B02" w:rsidRPr="00631C1B" w14:paraId="2EC3E5B8" w14:textId="77777777" w:rsidTr="00F10BBF">
        <w:trPr>
          <w:trHeight w:val="153"/>
        </w:trPr>
        <w:tc>
          <w:tcPr>
            <w:tcW w:w="756" w:type="pct"/>
            <w:tcBorders>
              <w:bottom w:val="nil"/>
              <w:right w:val="single" w:sz="4" w:space="0" w:color="auto"/>
            </w:tcBorders>
          </w:tcPr>
          <w:p w14:paraId="43CEDE1C" w14:textId="77777777" w:rsidR="00A40B02" w:rsidRPr="00631C1B" w:rsidRDefault="00A40B02" w:rsidP="00A40B02">
            <w:pPr>
              <w:rPr>
                <w:sz w:val="18"/>
                <w:szCs w:val="18"/>
              </w:rPr>
            </w:pPr>
            <w:r w:rsidRPr="00631C1B">
              <w:rPr>
                <w:sz w:val="18"/>
                <w:szCs w:val="18"/>
              </w:rPr>
              <w:t>Stakeholders report on increasing confidence/capacity of young people</w:t>
            </w:r>
          </w:p>
        </w:tc>
        <w:tc>
          <w:tcPr>
            <w:tcW w:w="661" w:type="pct"/>
            <w:tcBorders>
              <w:left w:val="single" w:sz="4" w:space="0" w:color="auto"/>
              <w:bottom w:val="nil"/>
              <w:right w:val="single" w:sz="4" w:space="0" w:color="auto"/>
            </w:tcBorders>
          </w:tcPr>
          <w:p w14:paraId="722BC26B" w14:textId="46434DED" w:rsidR="00A40B02" w:rsidRPr="00631C1B" w:rsidRDefault="00A40B02" w:rsidP="00A40B02">
            <w:pPr>
              <w:jc w:val="center"/>
              <w:rPr>
                <w:sz w:val="18"/>
                <w:szCs w:val="18"/>
              </w:rPr>
            </w:pPr>
            <w:r w:rsidRPr="00631C1B">
              <w:rPr>
                <w:sz w:val="18"/>
                <w:szCs w:val="18"/>
              </w:rPr>
              <w:t>75%</w:t>
            </w:r>
          </w:p>
        </w:tc>
        <w:tc>
          <w:tcPr>
            <w:tcW w:w="473" w:type="pct"/>
            <w:tcBorders>
              <w:left w:val="single" w:sz="4" w:space="0" w:color="auto"/>
              <w:bottom w:val="nil"/>
              <w:right w:val="single" w:sz="4" w:space="0" w:color="auto"/>
            </w:tcBorders>
          </w:tcPr>
          <w:p w14:paraId="13CE7271" w14:textId="46E137F9" w:rsidR="00A40B02" w:rsidRPr="00631C1B" w:rsidRDefault="006C58B1" w:rsidP="00A40B02">
            <w:pPr>
              <w:jc w:val="center"/>
              <w:rPr>
                <w:sz w:val="18"/>
                <w:szCs w:val="18"/>
              </w:rPr>
            </w:pPr>
            <w:r w:rsidRPr="00631C1B">
              <w:rPr>
                <w:sz w:val="18"/>
                <w:szCs w:val="18"/>
              </w:rPr>
              <w:t>93.5%</w:t>
            </w:r>
          </w:p>
        </w:tc>
        <w:tc>
          <w:tcPr>
            <w:tcW w:w="756" w:type="pct"/>
            <w:tcBorders>
              <w:left w:val="single" w:sz="4" w:space="0" w:color="auto"/>
              <w:bottom w:val="nil"/>
              <w:right w:val="single" w:sz="4" w:space="0" w:color="auto"/>
            </w:tcBorders>
          </w:tcPr>
          <w:p w14:paraId="72091E5B" w14:textId="45EECAB1" w:rsidR="00A40B02" w:rsidRPr="00631C1B" w:rsidRDefault="00A40B02" w:rsidP="00A40B02">
            <w:pPr>
              <w:jc w:val="center"/>
              <w:rPr>
                <w:sz w:val="18"/>
                <w:szCs w:val="18"/>
              </w:rPr>
            </w:pPr>
            <w:r w:rsidRPr="00631C1B">
              <w:rPr>
                <w:sz w:val="18"/>
                <w:szCs w:val="18"/>
              </w:rPr>
              <w:t>75%</w:t>
            </w:r>
          </w:p>
        </w:tc>
        <w:tc>
          <w:tcPr>
            <w:tcW w:w="474" w:type="pct"/>
            <w:tcBorders>
              <w:left w:val="single" w:sz="4" w:space="0" w:color="auto"/>
              <w:bottom w:val="nil"/>
              <w:right w:val="single" w:sz="4" w:space="0" w:color="auto"/>
            </w:tcBorders>
          </w:tcPr>
          <w:p w14:paraId="62DE89EF" w14:textId="7394648A" w:rsidR="00A40B02" w:rsidRPr="00631C1B" w:rsidRDefault="00A73593" w:rsidP="00A40B02">
            <w:pPr>
              <w:jc w:val="center"/>
              <w:rPr>
                <w:sz w:val="18"/>
                <w:szCs w:val="18"/>
              </w:rPr>
            </w:pPr>
            <w:r w:rsidRPr="00631C1B">
              <w:rPr>
                <w:sz w:val="18"/>
                <w:szCs w:val="18"/>
              </w:rPr>
              <w:t>N/A</w:t>
            </w:r>
          </w:p>
        </w:tc>
        <w:tc>
          <w:tcPr>
            <w:tcW w:w="756" w:type="pct"/>
            <w:tcBorders>
              <w:left w:val="single" w:sz="4" w:space="0" w:color="auto"/>
              <w:bottom w:val="nil"/>
              <w:right w:val="single" w:sz="4" w:space="0" w:color="auto"/>
            </w:tcBorders>
          </w:tcPr>
          <w:p w14:paraId="0E5E7FDA" w14:textId="77777777" w:rsidR="00A40B02" w:rsidRPr="00631C1B" w:rsidRDefault="00A40B02" w:rsidP="00A40B02">
            <w:pPr>
              <w:jc w:val="center"/>
              <w:rPr>
                <w:sz w:val="18"/>
                <w:szCs w:val="18"/>
              </w:rPr>
            </w:pPr>
            <w:r w:rsidRPr="00631C1B">
              <w:rPr>
                <w:sz w:val="18"/>
                <w:szCs w:val="18"/>
              </w:rPr>
              <w:t>75%</w:t>
            </w:r>
          </w:p>
        </w:tc>
        <w:tc>
          <w:tcPr>
            <w:tcW w:w="473" w:type="pct"/>
            <w:tcBorders>
              <w:left w:val="single" w:sz="4" w:space="0" w:color="auto"/>
              <w:bottom w:val="nil"/>
              <w:right w:val="single" w:sz="4" w:space="0" w:color="auto"/>
            </w:tcBorders>
          </w:tcPr>
          <w:p w14:paraId="5A5B827E" w14:textId="3B8FDE63" w:rsidR="00A40B02" w:rsidRPr="00631C1B" w:rsidRDefault="00CE02BA" w:rsidP="00A40B02">
            <w:pPr>
              <w:jc w:val="center"/>
              <w:rPr>
                <w:sz w:val="18"/>
                <w:szCs w:val="18"/>
              </w:rPr>
            </w:pPr>
            <w:r w:rsidRPr="00631C1B">
              <w:rPr>
                <w:sz w:val="18"/>
                <w:szCs w:val="18"/>
              </w:rPr>
              <w:t>9</w:t>
            </w:r>
            <w:r w:rsidR="004125B1" w:rsidRPr="00631C1B">
              <w:rPr>
                <w:sz w:val="18"/>
                <w:szCs w:val="18"/>
              </w:rPr>
              <w:t>3</w:t>
            </w:r>
            <w:r w:rsidRPr="00631C1B">
              <w:rPr>
                <w:sz w:val="18"/>
                <w:szCs w:val="18"/>
              </w:rPr>
              <w:t>.</w:t>
            </w:r>
            <w:r w:rsidR="004125B1" w:rsidRPr="00631C1B">
              <w:rPr>
                <w:sz w:val="18"/>
                <w:szCs w:val="18"/>
              </w:rPr>
              <w:t>5</w:t>
            </w:r>
            <w:r w:rsidRPr="00631C1B">
              <w:rPr>
                <w:sz w:val="18"/>
                <w:szCs w:val="18"/>
              </w:rPr>
              <w:t>%</w:t>
            </w:r>
          </w:p>
        </w:tc>
        <w:tc>
          <w:tcPr>
            <w:tcW w:w="651" w:type="pct"/>
            <w:tcBorders>
              <w:left w:val="single" w:sz="4" w:space="0" w:color="auto"/>
              <w:bottom w:val="nil"/>
              <w:right w:val="single" w:sz="4" w:space="0" w:color="auto"/>
            </w:tcBorders>
          </w:tcPr>
          <w:p w14:paraId="03AA13BD" w14:textId="2BB92E7D" w:rsidR="00A40B02" w:rsidRPr="00631C1B" w:rsidRDefault="0049197B" w:rsidP="00A40B02">
            <w:pPr>
              <w:jc w:val="center"/>
              <w:rPr>
                <w:sz w:val="18"/>
                <w:szCs w:val="18"/>
              </w:rPr>
            </w:pPr>
            <w:r w:rsidRPr="00631C1B">
              <w:rPr>
                <w:sz w:val="18"/>
                <w:szCs w:val="18"/>
              </w:rPr>
              <w:t>+1</w:t>
            </w:r>
            <w:r w:rsidR="004125B1" w:rsidRPr="00631C1B">
              <w:rPr>
                <w:sz w:val="18"/>
                <w:szCs w:val="18"/>
              </w:rPr>
              <w:t>8</w:t>
            </w:r>
            <w:r w:rsidRPr="00631C1B">
              <w:rPr>
                <w:sz w:val="18"/>
                <w:szCs w:val="18"/>
              </w:rPr>
              <w:t>.</w:t>
            </w:r>
            <w:r w:rsidR="004125B1" w:rsidRPr="00631C1B">
              <w:rPr>
                <w:sz w:val="18"/>
                <w:szCs w:val="18"/>
              </w:rPr>
              <w:t>5</w:t>
            </w:r>
            <w:r w:rsidRPr="00631C1B">
              <w:rPr>
                <w:sz w:val="18"/>
                <w:szCs w:val="18"/>
              </w:rPr>
              <w:t>%</w:t>
            </w:r>
          </w:p>
        </w:tc>
      </w:tr>
    </w:tbl>
    <w:p w14:paraId="0D1A4B96" w14:textId="77777777" w:rsidR="00F10BBF" w:rsidRPr="00631C1B" w:rsidRDefault="00F10BBF" w:rsidP="00F10BBF">
      <w:pPr>
        <w:pStyle w:val="Source"/>
        <w:keepLines/>
        <w:spacing w:before="0"/>
      </w:pPr>
    </w:p>
    <w:p w14:paraId="6079065B" w14:textId="4FC9A169" w:rsidR="00F10BBF" w:rsidRPr="00631C1B" w:rsidRDefault="00F10BBF" w:rsidP="00F10BBF">
      <w:pPr>
        <w:pStyle w:val="Source"/>
        <w:keepLines/>
        <w:spacing w:before="0"/>
      </w:pPr>
      <w:r w:rsidRPr="00631C1B">
        <w:t>Source: Creative Scotland / BOP Consulting (20</w:t>
      </w:r>
      <w:r w:rsidR="00540D8F" w:rsidRPr="00631C1B">
        <w:t>20</w:t>
      </w:r>
      <w:r w:rsidRPr="00631C1B">
        <w:t>)</w:t>
      </w:r>
    </w:p>
    <w:p w14:paraId="619456AE" w14:textId="77777777" w:rsidR="00845B71" w:rsidRPr="00631C1B" w:rsidRDefault="00845B71" w:rsidP="00845B71">
      <w:pPr>
        <w:pStyle w:val="Subheadingnonumber"/>
      </w:pPr>
    </w:p>
    <w:p w14:paraId="0C674B9A" w14:textId="77777777" w:rsidR="00845B71" w:rsidRPr="00631C1B" w:rsidRDefault="00845B71" w:rsidP="00845B71">
      <w:pPr>
        <w:pStyle w:val="Subheadingnonumber"/>
      </w:pPr>
    </w:p>
    <w:p w14:paraId="2C509631" w14:textId="12CE38D7" w:rsidR="00954040" w:rsidRPr="00631C1B" w:rsidRDefault="00845B71" w:rsidP="00845B71">
      <w:pPr>
        <w:pStyle w:val="Subheadingnonumber"/>
      </w:pPr>
      <w:r w:rsidRPr="00631C1B">
        <w:t>Key programme learning</w:t>
      </w:r>
    </w:p>
    <w:p w14:paraId="4C72CD96" w14:textId="3F801C16" w:rsidR="00D10FA4" w:rsidRPr="00631C1B" w:rsidRDefault="00C61F6C" w:rsidP="00845B71">
      <w:pPr>
        <w:pStyle w:val="ListBullet"/>
      </w:pPr>
      <w:r w:rsidRPr="00631C1B">
        <w:t xml:space="preserve">Recognise that there is a logical sequence for ‘additional’ outcomes to be </w:t>
      </w:r>
      <w:r w:rsidR="00B52C29" w:rsidRPr="00631C1B">
        <w:t>achieved; that confidence to participate in something new is often the first step for certain young people, and that further progress takes time and resources, particularly for the most vulnerable young people</w:t>
      </w:r>
    </w:p>
    <w:p w14:paraId="30C256C7" w14:textId="3C66E02A" w:rsidR="00B52C29" w:rsidRPr="00631C1B" w:rsidRDefault="00BC5ECE" w:rsidP="00845B71">
      <w:pPr>
        <w:pStyle w:val="ListBullet"/>
      </w:pPr>
      <w:r w:rsidRPr="00631C1B">
        <w:t>Encourage a balance between retention of existing participants between quarters and years</w:t>
      </w:r>
      <w:r w:rsidR="00580CFC" w:rsidRPr="00631C1B">
        <w:t xml:space="preserve"> of delivery and engaging new participants in activities. This should also be flexible to community needs and </w:t>
      </w:r>
      <w:r w:rsidR="009A2B8B" w:rsidRPr="00631C1B">
        <w:t>project developments wherever possible</w:t>
      </w:r>
      <w:r w:rsidR="00845B71" w:rsidRPr="00631C1B">
        <w:t>.</w:t>
      </w:r>
    </w:p>
    <w:p w14:paraId="13FCD880" w14:textId="14E68371" w:rsidR="000E35DB" w:rsidRPr="00631C1B" w:rsidRDefault="000E35DB" w:rsidP="00540D8F">
      <w:pPr>
        <w:pStyle w:val="Headingnonumber"/>
      </w:pPr>
      <w:bookmarkStart w:id="28" w:name="_Toc43980019"/>
      <w:r w:rsidRPr="00631C1B">
        <w:lastRenderedPageBreak/>
        <w:t xml:space="preserve">Case study 1: </w:t>
      </w:r>
      <w:r w:rsidR="00F5571B" w:rsidRPr="00631C1B">
        <w:t xml:space="preserve">PILOT, </w:t>
      </w:r>
      <w:r w:rsidR="00DF54AB" w:rsidRPr="00631C1B">
        <w:t>Firefly Arts</w:t>
      </w:r>
      <w:bookmarkEnd w:id="28"/>
    </w:p>
    <w:p w14:paraId="7B56F0D8" w14:textId="6681BAC6" w:rsidR="007315CA" w:rsidRPr="00631C1B" w:rsidRDefault="00F96AFF" w:rsidP="007315CA">
      <w:pPr>
        <w:pStyle w:val="Subheadingnonumber"/>
      </w:pPr>
      <w:r w:rsidRPr="00631C1B">
        <w:t xml:space="preserve">What is </w:t>
      </w:r>
      <w:r w:rsidR="001A54D1" w:rsidRPr="00631C1B">
        <w:t>PILOT</w:t>
      </w:r>
      <w:r w:rsidRPr="00631C1B">
        <w:t>?</w:t>
      </w:r>
    </w:p>
    <w:p w14:paraId="4AA217F4" w14:textId="77777777" w:rsidR="003C1DFA" w:rsidRPr="00631C1B" w:rsidRDefault="003C1DFA" w:rsidP="003C1DFA">
      <w:pPr>
        <w:pStyle w:val="BodyText"/>
      </w:pPr>
      <w:r w:rsidRPr="00631C1B">
        <w:t xml:space="preserve">PILOT taps into strategic and community partnerships to engage and sustain activity with West Lothian’s most vulnerable young people. Partners include New Directions, West Lothian HYPE and MCMC programmes, West Lothian Young Carers, and Bathgate Academy’s alternative curriculum Unit. </w:t>
      </w:r>
    </w:p>
    <w:p w14:paraId="477DC8A0" w14:textId="7E499ACE" w:rsidR="003C1DFA" w:rsidRPr="00631C1B" w:rsidRDefault="003C1DFA" w:rsidP="003C1DFA">
      <w:pPr>
        <w:pStyle w:val="BodyText"/>
      </w:pPr>
      <w:r w:rsidRPr="00631C1B">
        <w:t>Participants have a wide range of needs, aspirations, skills and interests</w:t>
      </w:r>
      <w:r w:rsidR="009A6F6D" w:rsidRPr="00631C1B">
        <w:t xml:space="preserve">. They </w:t>
      </w:r>
      <w:r w:rsidRPr="00631C1B">
        <w:t xml:space="preserve">included young people not in education, training or employment, young adults with learning and communication impairment, early school leavers, young people in and after care systems, those deemed at risk of harmful, criminal or antisocial behaviours, </w:t>
      </w:r>
      <w:r w:rsidR="00180173" w:rsidRPr="00631C1B">
        <w:t xml:space="preserve">as well as </w:t>
      </w:r>
      <w:r w:rsidRPr="00631C1B">
        <w:t>young people affected by emotional and mental health difficulties</w:t>
      </w:r>
      <w:r w:rsidR="00180173" w:rsidRPr="00631C1B">
        <w:t>.</w:t>
      </w:r>
    </w:p>
    <w:p w14:paraId="0EC4724B" w14:textId="11322887" w:rsidR="003C1DFA" w:rsidRPr="00631C1B" w:rsidRDefault="003C1DFA" w:rsidP="003C1DFA">
      <w:pPr>
        <w:pStyle w:val="BodyText"/>
        <w:rPr>
          <w:b/>
        </w:rPr>
      </w:pPr>
      <w:r w:rsidRPr="00631C1B">
        <w:t xml:space="preserve">Project activity included digital installation, music, drama and performance, parkour, dance, lighting and sound design skills. </w:t>
      </w:r>
      <w:r w:rsidR="00180173" w:rsidRPr="00631C1B">
        <w:t>In 2019,</w:t>
      </w:r>
      <w:r w:rsidRPr="00631C1B">
        <w:t xml:space="preserve"> the project hosted </w:t>
      </w:r>
      <w:r w:rsidR="00180173" w:rsidRPr="00631C1B">
        <w:t>six</w:t>
      </w:r>
      <w:r w:rsidRPr="00631C1B">
        <w:t xml:space="preserve"> informal sharing evenings</w:t>
      </w:r>
      <w:r w:rsidR="00180173" w:rsidRPr="00631C1B">
        <w:t>,</w:t>
      </w:r>
      <w:r w:rsidRPr="00631C1B">
        <w:t xml:space="preserve"> where participants performed, exhibited or presented work and achievements to the wider public. </w:t>
      </w:r>
    </w:p>
    <w:p w14:paraId="4EE28C3D" w14:textId="77777777" w:rsidR="009259BF" w:rsidRPr="00631C1B" w:rsidRDefault="009259BF" w:rsidP="009259BF">
      <w:pPr>
        <w:pStyle w:val="Subheadingnonumber"/>
      </w:pPr>
      <w:r w:rsidRPr="00631C1B">
        <w:t>Impacts on the participants and organisation</w:t>
      </w:r>
    </w:p>
    <w:p w14:paraId="55D35649" w14:textId="1394A688" w:rsidR="004B68ED" w:rsidRPr="00631C1B" w:rsidRDefault="004B68ED" w:rsidP="004B68ED">
      <w:pPr>
        <w:pStyle w:val="BodyText"/>
      </w:pPr>
      <w:r w:rsidRPr="00631C1B">
        <w:t>Many of Firefly’s participants are excluded from communities or education because of barriers, physical, societal and emotional</w:t>
      </w:r>
      <w:r w:rsidR="001D0D87" w:rsidRPr="00631C1B">
        <w:t>. An</w:t>
      </w:r>
      <w:r w:rsidRPr="00631C1B">
        <w:t xml:space="preserve"> empathetic approach aims to overcome these and establish trust in the adults in the room.  Establishing rules of behaviour enables a trusting atmosphere, brings out individual personalities and helps them create and feel proud of their achievements.</w:t>
      </w:r>
    </w:p>
    <w:p w14:paraId="27A20F8E" w14:textId="667B7387" w:rsidR="004B68ED" w:rsidRPr="00631C1B" w:rsidRDefault="004B68ED" w:rsidP="004B68ED">
      <w:pPr>
        <w:pStyle w:val="BodyText"/>
      </w:pPr>
      <w:r w:rsidRPr="00631C1B">
        <w:t xml:space="preserve">Allowing young people to </w:t>
      </w:r>
      <w:r w:rsidR="00840B03" w:rsidRPr="00631C1B">
        <w:t>‘</w:t>
      </w:r>
      <w:r w:rsidRPr="00631C1B">
        <w:t>walk in other</w:t>
      </w:r>
      <w:r w:rsidR="00840B03" w:rsidRPr="00631C1B">
        <w:t>’</w:t>
      </w:r>
      <w:r w:rsidRPr="00631C1B">
        <w:t>s shoes</w:t>
      </w:r>
      <w:r w:rsidR="00840B03" w:rsidRPr="00631C1B">
        <w:t>’</w:t>
      </w:r>
      <w:r w:rsidRPr="00631C1B">
        <w:t xml:space="preserve"> increases confidence. Working on Hamlet one week and parkour with superheroes the next encourages creative responses – from participants and practitioners alike. Creating a supportive environment encourages those who</w:t>
      </w:r>
      <w:r w:rsidR="00840B03" w:rsidRPr="00631C1B">
        <w:t>,</w:t>
      </w:r>
      <w:r w:rsidRPr="00631C1B">
        <w:t xml:space="preserve"> for example, previously believed some challenges might be too physically difficult, to succeed and see themselves in </w:t>
      </w:r>
      <w:r w:rsidR="00EF1532" w:rsidRPr="00631C1B">
        <w:t xml:space="preserve">a </w:t>
      </w:r>
      <w:r w:rsidRPr="00631C1B">
        <w:t xml:space="preserve">different light. Within the room they have real responsibilities and deadlines and the value of collaborative working becomes evident. </w:t>
      </w:r>
      <w:r w:rsidRPr="00631C1B">
        <w:t xml:space="preserve">Recognising the value of each role and the benefits of team working – at micro and macro level – enables them to begin to build communities and social skills.  </w:t>
      </w:r>
    </w:p>
    <w:p w14:paraId="0F3B76AF" w14:textId="6D2F86CF" w:rsidR="004B68ED" w:rsidRPr="00631C1B" w:rsidRDefault="004B68ED" w:rsidP="004B68ED">
      <w:pPr>
        <w:pStyle w:val="BodyText"/>
      </w:pPr>
      <w:r w:rsidRPr="00631C1B">
        <w:t>Some have previously struggled to leave their homes but begin to socialise and make friends through the Firefly groups. This enables young people to be fully part of their own communities and to maintain links and friendships formed to maintain support.</w:t>
      </w:r>
    </w:p>
    <w:p w14:paraId="7744BE9C" w14:textId="48E8F846" w:rsidR="004B68ED" w:rsidRPr="00631C1B" w:rsidRDefault="004B68ED" w:rsidP="004B68ED">
      <w:pPr>
        <w:pStyle w:val="BodyText"/>
      </w:pPr>
      <w:r w:rsidRPr="00631C1B">
        <w:t xml:space="preserve">Increasing confidence leads to progress in skills acquisition and employability is enhanced in this cohort. Participants have gone on to study art or drama; others sign up to singing competitions or dance lessons. These are significant achievements and establish a proactive rather than passive approach to life. Enabling them to reflect on achievements helps realisation of the extent of change among themselves.  </w:t>
      </w:r>
    </w:p>
    <w:p w14:paraId="224FA10E" w14:textId="4260BC2D" w:rsidR="000E35DB" w:rsidRPr="00631C1B" w:rsidRDefault="000E14E7" w:rsidP="000E35DB">
      <w:pPr>
        <w:pStyle w:val="Subheadingnonumber"/>
      </w:pPr>
      <w:r w:rsidRPr="00631C1B">
        <w:t>Successes, c</w:t>
      </w:r>
      <w:r w:rsidR="000E35DB" w:rsidRPr="00631C1B">
        <w:t>hallenges</w:t>
      </w:r>
      <w:r w:rsidR="00BA4A07" w:rsidRPr="00631C1B">
        <w:t xml:space="preserve"> and</w:t>
      </w:r>
      <w:r w:rsidR="000E35DB" w:rsidRPr="00631C1B">
        <w:t xml:space="preserve"> learning</w:t>
      </w:r>
    </w:p>
    <w:p w14:paraId="55AFF645" w14:textId="555EF579" w:rsidR="004B46F6" w:rsidRPr="00631C1B" w:rsidRDefault="00EF2836" w:rsidP="009A3F2B">
      <w:pPr>
        <w:pStyle w:val="BodyText"/>
      </w:pPr>
      <w:r w:rsidRPr="00631C1B">
        <w:t xml:space="preserve">Partnership working relies on strong relationships and Firefly has been fortunate to have good links with local groups established via previous </w:t>
      </w:r>
      <w:proofErr w:type="spellStart"/>
      <w:r w:rsidR="00281FAF" w:rsidRPr="00631C1B">
        <w:t>CashBack</w:t>
      </w:r>
      <w:proofErr w:type="spellEnd"/>
      <w:r w:rsidRPr="00631C1B">
        <w:t xml:space="preserve"> projects. One of the most successful elements of has been consistency and time</w:t>
      </w:r>
      <w:r w:rsidR="00CE7AE1" w:rsidRPr="00631C1B">
        <w:t>.</w:t>
      </w:r>
    </w:p>
    <w:p w14:paraId="5A8797D2" w14:textId="7D11C646" w:rsidR="004B46F6" w:rsidRPr="00631C1B" w:rsidRDefault="004B46F6" w:rsidP="009A3F2B">
      <w:pPr>
        <w:pStyle w:val="Quotesmall"/>
      </w:pPr>
      <w:r w:rsidRPr="00631C1B">
        <w:tab/>
      </w:r>
      <w:r w:rsidRPr="00631C1B">
        <w:rPr>
          <w:noProof/>
          <w:lang w:eastAsia="en-GB"/>
        </w:rPr>
        <w:drawing>
          <wp:inline distT="0" distB="0" distL="0" distR="0" wp14:anchorId="1ED83C91" wp14:editId="68984204">
            <wp:extent cx="197640" cy="1569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It takes real effort to get best value for each person.</w:t>
      </w:r>
    </w:p>
    <w:p w14:paraId="3F6B455D" w14:textId="2CDF1F49" w:rsidR="00B059F5" w:rsidRPr="00631C1B" w:rsidRDefault="00EF2836" w:rsidP="009A3F2B">
      <w:pPr>
        <w:pStyle w:val="BodyText"/>
      </w:pPr>
      <w:r w:rsidRPr="00631C1B">
        <w:t xml:space="preserve">Three-year funding enabled partner relations to be built and </w:t>
      </w:r>
      <w:r w:rsidR="004B46F6" w:rsidRPr="00631C1B">
        <w:t>long-term</w:t>
      </w:r>
      <w:r w:rsidRPr="00631C1B">
        <w:t xml:space="preserve"> success aimed towards. For example, the </w:t>
      </w:r>
      <w:proofErr w:type="spellStart"/>
      <w:r w:rsidR="00281FAF" w:rsidRPr="00631C1B">
        <w:t>CashBack</w:t>
      </w:r>
      <w:proofErr w:type="spellEnd"/>
      <w:r w:rsidRPr="00631C1B">
        <w:t xml:space="preserve"> Film Club established a group who can work at professional standard and are self-determined and self-motivated.  They can take ownership and make films about subjects important to them. It has also enabled them to play. </w:t>
      </w:r>
    </w:p>
    <w:p w14:paraId="1150E7BD" w14:textId="189C6E2B" w:rsidR="00B059F5" w:rsidRPr="00631C1B" w:rsidRDefault="00B059F5" w:rsidP="009A3F2B">
      <w:pPr>
        <w:pStyle w:val="Quotesmall"/>
      </w:pPr>
      <w:r w:rsidRPr="00631C1B">
        <w:tab/>
      </w:r>
      <w:r w:rsidRPr="00631C1B">
        <w:rPr>
          <w:noProof/>
          <w:lang w:eastAsia="en-GB"/>
        </w:rPr>
        <w:drawing>
          <wp:inline distT="0" distB="0" distL="0" distR="0" wp14:anchorId="67D7072A" wp14:editId="3F3AB75E">
            <wp:extent cx="197640" cy="1569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We are talking about transformation here.  It’s about realistic goals and aspirations, takes a long time and the benefits are long term</w:t>
      </w:r>
      <w:r w:rsidR="00D620C7" w:rsidRPr="00631C1B">
        <w:t>.</w:t>
      </w:r>
    </w:p>
    <w:p w14:paraId="1A1F7C3D" w14:textId="51B27B35" w:rsidR="00FC0381" w:rsidRPr="00631C1B" w:rsidRDefault="00FC0381" w:rsidP="00EB1C5B">
      <w:pPr>
        <w:pStyle w:val="Quotesmall"/>
        <w:numPr>
          <w:ilvl w:val="0"/>
          <w:numId w:val="5"/>
        </w:numPr>
        <w:jc w:val="right"/>
      </w:pPr>
      <w:r w:rsidRPr="00631C1B">
        <w:t>Senior Theatre Arts Practitioner</w:t>
      </w:r>
    </w:p>
    <w:p w14:paraId="26F335F9" w14:textId="504FBB4F" w:rsidR="00EF2836" w:rsidRPr="00631C1B" w:rsidRDefault="00EF2836" w:rsidP="00EF2836">
      <w:pPr>
        <w:pStyle w:val="BodyText"/>
      </w:pPr>
      <w:r w:rsidRPr="00631C1B">
        <w:lastRenderedPageBreak/>
        <w:t xml:space="preserve">Sometimes communities need projects to come to them and this requires long term involvement. West Lothian has </w:t>
      </w:r>
      <w:r w:rsidR="00D620C7" w:rsidRPr="00631C1B">
        <w:t>several</w:t>
      </w:r>
      <w:r w:rsidRPr="00631C1B">
        <w:t xml:space="preserve"> remote towns and villages with poor transport links. This project used a mix of delivery at the Firefly base as well as outreach activities in remote areas and schools, working in partnership with community workers and teachers and culminating in work presented in Firefly’s theatre to enable a professional experience.  </w:t>
      </w:r>
    </w:p>
    <w:p w14:paraId="5B6A6873" w14:textId="36DFF255" w:rsidR="00EF2836" w:rsidRPr="00631C1B" w:rsidRDefault="00EF2836" w:rsidP="00EF2836">
      <w:pPr>
        <w:pStyle w:val="BodyText"/>
      </w:pPr>
      <w:r w:rsidRPr="00631C1B">
        <w:t>Working with young people struggling within the school programme</w:t>
      </w:r>
      <w:r w:rsidR="007536D9" w:rsidRPr="00631C1B">
        <w:t>,</w:t>
      </w:r>
      <w:r w:rsidRPr="00631C1B">
        <w:t xml:space="preserve"> the aim was to help get them back into</w:t>
      </w:r>
      <w:r w:rsidR="00345920" w:rsidRPr="00631C1B">
        <w:t xml:space="preserve"> a</w:t>
      </w:r>
      <w:r w:rsidRPr="00631C1B">
        <w:t xml:space="preserve"> mainstream school community. Participants often have chaotic lives and enabling them to participate in this programme within school premises and school day offered important reintegration opportunities. </w:t>
      </w:r>
    </w:p>
    <w:p w14:paraId="1030A1AB" w14:textId="29DB3E49" w:rsidR="00E247E8" w:rsidRPr="00631C1B" w:rsidRDefault="00EF2836" w:rsidP="009A3F2B">
      <w:pPr>
        <w:pStyle w:val="BodyText"/>
      </w:pPr>
      <w:r w:rsidRPr="00631C1B">
        <w:t>Recognising that young people have ideas and enabling them to bring those to life through exercises and workshops, making their own performance, is empowering. Firefly participants come up with ideas, build sets, light, operate, sources and make own props and costumes and perform</w:t>
      </w:r>
      <w:r w:rsidRPr="00631C1B">
        <w:rPr>
          <w:i/>
        </w:rPr>
        <w:t>.</w:t>
      </w:r>
      <w:r w:rsidR="00576D04" w:rsidRPr="00631C1B">
        <w:rPr>
          <w:i/>
        </w:rPr>
        <w:t xml:space="preserve"> </w:t>
      </w:r>
      <w:r w:rsidR="00576D04" w:rsidRPr="00631C1B">
        <w:t>The role of the artist/practitioner working with the young people is to make ideas work, to develop them, while recognising the individual needs of the group.</w:t>
      </w:r>
    </w:p>
    <w:p w14:paraId="34B6D5EB" w14:textId="1DB932A3" w:rsidR="00E247E8" w:rsidRPr="00631C1B" w:rsidRDefault="00E247E8" w:rsidP="009A3F2B">
      <w:pPr>
        <w:pStyle w:val="Quotesmall"/>
      </w:pPr>
      <w:r w:rsidRPr="00631C1B">
        <w:tab/>
      </w:r>
      <w:r w:rsidRPr="00631C1B">
        <w:rPr>
          <w:noProof/>
          <w:lang w:eastAsia="en-GB"/>
        </w:rPr>
        <w:drawing>
          <wp:inline distT="0" distB="0" distL="0" distR="0" wp14:anchorId="65396612" wp14:editId="660DA83D">
            <wp:extent cx="197640" cy="1569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By empowering them to develop their own ideas they can see their achievement.</w:t>
      </w:r>
    </w:p>
    <w:p w14:paraId="5A936BCF" w14:textId="0D219824" w:rsidR="00EF2836" w:rsidRPr="00631C1B" w:rsidRDefault="00EF2836" w:rsidP="00EF2836">
      <w:pPr>
        <w:pStyle w:val="BodyText"/>
      </w:pPr>
      <w:r w:rsidRPr="00631C1B">
        <w:t xml:space="preserve">Artists and practitioners report their own development alongside that of participants. Learning to adapt to developing situations in the room and involving participants in interactive ways by making the </w:t>
      </w:r>
      <w:r w:rsidR="00734F99" w:rsidRPr="00631C1B">
        <w:t>workspaces</w:t>
      </w:r>
      <w:r w:rsidRPr="00631C1B">
        <w:t xml:space="preserve"> as creative as possible is reported as challenging but rewarding.</w:t>
      </w:r>
    </w:p>
    <w:p w14:paraId="263EB95A" w14:textId="0D9CF8D3" w:rsidR="00734F99" w:rsidRPr="00631C1B" w:rsidRDefault="00281FAF" w:rsidP="00EF2836">
      <w:pPr>
        <w:pStyle w:val="BodyText"/>
      </w:pPr>
      <w:proofErr w:type="spellStart"/>
      <w:r w:rsidRPr="00631C1B">
        <w:t>CashBack</w:t>
      </w:r>
      <w:proofErr w:type="spellEnd"/>
      <w:r w:rsidR="00EF2836" w:rsidRPr="00631C1B">
        <w:t xml:space="preserve"> targets mean there is a constant need to engage new participants and this can conflict with the need to establish long term relationships.</w:t>
      </w:r>
    </w:p>
    <w:p w14:paraId="4EFA84E5" w14:textId="4AE8C9BA" w:rsidR="00734F99" w:rsidRPr="00631C1B" w:rsidRDefault="00734F99" w:rsidP="00734F99">
      <w:pPr>
        <w:pStyle w:val="Quotesmall"/>
      </w:pPr>
      <w:r w:rsidRPr="00631C1B">
        <w:rPr>
          <w:noProof/>
          <w:lang w:eastAsia="en-GB"/>
        </w:rPr>
        <w:drawing>
          <wp:inline distT="0" distB="0" distL="0" distR="0" wp14:anchorId="7013EC6B" wp14:editId="4761AF32">
            <wp:extent cx="197640" cy="1569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True investment is time, comfortable environments, with consistent workshop methodologies to get them all comfortable and working together.  Nurturing is an organic process and we must be able to respond quickly to what’s going on in the room.</w:t>
      </w:r>
    </w:p>
    <w:p w14:paraId="7BC92EC3" w14:textId="36FC0BC8" w:rsidR="00734F99" w:rsidRPr="00631C1B" w:rsidRDefault="00734F99" w:rsidP="00EB1C5B">
      <w:pPr>
        <w:pStyle w:val="Quotesmall"/>
        <w:numPr>
          <w:ilvl w:val="0"/>
          <w:numId w:val="5"/>
        </w:numPr>
        <w:jc w:val="right"/>
      </w:pPr>
      <w:r w:rsidRPr="00631C1B">
        <w:t>Senior Theatre Arts Practitioner</w:t>
      </w:r>
    </w:p>
    <w:p w14:paraId="274DE922" w14:textId="5F8FAFA6" w:rsidR="007F03D8" w:rsidRPr="00631C1B" w:rsidRDefault="00EF2836" w:rsidP="00EF2836">
      <w:pPr>
        <w:pStyle w:val="BodyText"/>
      </w:pPr>
      <w:r w:rsidRPr="00631C1B">
        <w:t>Establishing trust, working together as an ensemble, experiential learning and relying on each other are vital to success.</w:t>
      </w:r>
    </w:p>
    <w:p w14:paraId="4F4E3FDB" w14:textId="5AD02939" w:rsidR="001F4BD4" w:rsidRPr="00631C1B" w:rsidRDefault="001F4BD4"/>
    <w:p w14:paraId="01CB5555" w14:textId="2744CA02" w:rsidR="00F611B5" w:rsidRPr="00631C1B" w:rsidRDefault="00F611B5" w:rsidP="00F611B5">
      <w:pPr>
        <w:pStyle w:val="Quotesmall"/>
        <w:keepNext/>
      </w:pPr>
    </w:p>
    <w:p w14:paraId="0E7322F9" w14:textId="3B6A4111" w:rsidR="00F611B5" w:rsidRPr="00631C1B" w:rsidRDefault="00F611B5" w:rsidP="00F611B5">
      <w:pPr>
        <w:pStyle w:val="BodyText"/>
      </w:pPr>
    </w:p>
    <w:p w14:paraId="4E6919EC" w14:textId="7631F086" w:rsidR="00BD2E41" w:rsidRPr="00631C1B" w:rsidRDefault="00FE6DDF" w:rsidP="00BD2E41">
      <w:pPr>
        <w:pStyle w:val="Heading1"/>
      </w:pPr>
      <w:bookmarkStart w:id="29" w:name="_Toc43980020"/>
      <w:bookmarkEnd w:id="1"/>
      <w:r w:rsidRPr="00631C1B">
        <w:lastRenderedPageBreak/>
        <w:t>Developing physical and personal skills</w:t>
      </w:r>
      <w:bookmarkEnd w:id="29"/>
    </w:p>
    <w:p w14:paraId="285182CC" w14:textId="460DA9BF" w:rsidR="005158DC" w:rsidRPr="00631C1B" w:rsidRDefault="00EE0C41" w:rsidP="005158DC">
      <w:pPr>
        <w:pStyle w:val="BodyText"/>
      </w:pPr>
      <w:r w:rsidRPr="00631C1B">
        <w:t xml:space="preserve">The individual projects of the </w:t>
      </w:r>
      <w:proofErr w:type="spellStart"/>
      <w:r w:rsidR="00281FAF" w:rsidRPr="00631C1B">
        <w:t>CashBack</w:t>
      </w:r>
      <w:proofErr w:type="spellEnd"/>
      <w:r w:rsidRPr="00631C1B">
        <w:t xml:space="preserve"> for Creativity programme covered a wealth of </w:t>
      </w:r>
      <w:r w:rsidR="00351755" w:rsidRPr="00631C1B">
        <w:t xml:space="preserve">artforms. These include music, dance, radio broadcasting, filmmaking, </w:t>
      </w:r>
      <w:r w:rsidR="003D4426" w:rsidRPr="00631C1B">
        <w:t xml:space="preserve">theatre production, amongst others. </w:t>
      </w:r>
      <w:r w:rsidR="007804AB" w:rsidRPr="00631C1B">
        <w:t xml:space="preserve">With </w:t>
      </w:r>
      <w:r w:rsidR="00443761" w:rsidRPr="00631C1B">
        <w:t xml:space="preserve">such a broad range of project designs and participant cohorts, the range of physical and personal skills </w:t>
      </w:r>
      <w:r w:rsidR="00047E71" w:rsidRPr="00631C1B">
        <w:t xml:space="preserve">that could be developed are </w:t>
      </w:r>
      <w:r w:rsidR="007804AB" w:rsidRPr="00631C1B">
        <w:t xml:space="preserve">equally </w:t>
      </w:r>
      <w:r w:rsidR="00662078" w:rsidRPr="00631C1B">
        <w:t>broad</w:t>
      </w:r>
      <w:r w:rsidR="00047E71" w:rsidRPr="00631C1B">
        <w:t>.</w:t>
      </w:r>
      <w:r w:rsidR="00662078" w:rsidRPr="00631C1B">
        <w:t xml:space="preserve"> Most projects funded by </w:t>
      </w:r>
      <w:proofErr w:type="spellStart"/>
      <w:r w:rsidR="00281FAF" w:rsidRPr="00631C1B">
        <w:t>CashBack</w:t>
      </w:r>
      <w:proofErr w:type="spellEnd"/>
      <w:r w:rsidR="00662078" w:rsidRPr="00631C1B">
        <w:t xml:space="preserve"> for Creativity</w:t>
      </w:r>
      <w:r w:rsidR="006009E2" w:rsidRPr="00631C1B">
        <w:t xml:space="preserve"> focused on </w:t>
      </w:r>
      <w:r w:rsidR="003E1EF5" w:rsidRPr="00631C1B">
        <w:t>nurturing creativity</w:t>
      </w:r>
      <w:r w:rsidR="007E4F66" w:rsidRPr="00631C1B">
        <w:t xml:space="preserve"> (e.g. song writing</w:t>
      </w:r>
      <w:r w:rsidR="00281093" w:rsidRPr="00631C1B">
        <w:t xml:space="preserve">, </w:t>
      </w:r>
      <w:r w:rsidR="00501546" w:rsidRPr="00631C1B">
        <w:t>choreography</w:t>
      </w:r>
      <w:r w:rsidR="007E4F66" w:rsidRPr="00631C1B">
        <w:t>)</w:t>
      </w:r>
      <w:r w:rsidR="003E1EF5" w:rsidRPr="00631C1B">
        <w:t xml:space="preserve"> and the technical skills that enable creative expression</w:t>
      </w:r>
      <w:r w:rsidR="00D374E4" w:rsidRPr="00631C1B">
        <w:t xml:space="preserve"> (e.g. music production)</w:t>
      </w:r>
      <w:r w:rsidR="003E1EF5" w:rsidRPr="00631C1B">
        <w:t xml:space="preserve">. </w:t>
      </w:r>
    </w:p>
    <w:p w14:paraId="39B61F24" w14:textId="18757932" w:rsidR="00BD2E41" w:rsidRPr="00631C1B" w:rsidRDefault="00BD2E41" w:rsidP="00BD2E41">
      <w:pPr>
        <w:pStyle w:val="Subheadingnonumber"/>
      </w:pPr>
      <w:r w:rsidRPr="00631C1B">
        <w:t>Key findings</w:t>
      </w:r>
      <w:r w:rsidR="00B04362" w:rsidRPr="00631C1B">
        <w:t xml:space="preserve"> for Year 3</w:t>
      </w:r>
    </w:p>
    <w:p w14:paraId="0A8A15B2" w14:textId="29AA02E8" w:rsidR="00BD2E41" w:rsidRPr="00631C1B" w:rsidRDefault="00BD2E41" w:rsidP="00BD2E41">
      <w:pPr>
        <w:pStyle w:val="BodyText"/>
        <w:rPr>
          <w:b/>
        </w:rPr>
      </w:pPr>
      <w:r w:rsidRPr="00631C1B">
        <w:rPr>
          <w:b/>
        </w:rPr>
        <w:t xml:space="preserve">Targeted </w:t>
      </w:r>
      <w:r w:rsidR="00B04362" w:rsidRPr="00631C1B">
        <w:rPr>
          <w:b/>
        </w:rPr>
        <w:t>F</w:t>
      </w:r>
      <w:r w:rsidRPr="00631C1B">
        <w:rPr>
          <w:b/>
        </w:rPr>
        <w:t>und</w:t>
      </w:r>
    </w:p>
    <w:p w14:paraId="36C19813" w14:textId="28647CE1" w:rsidR="00D53060" w:rsidRPr="00631C1B" w:rsidRDefault="00D53060" w:rsidP="009A3F2B">
      <w:pPr>
        <w:pStyle w:val="ListBullet"/>
      </w:pPr>
      <w:r w:rsidRPr="00631C1B">
        <w:t xml:space="preserve">Targeted Fund </w:t>
      </w:r>
      <w:r w:rsidRPr="00D768FF">
        <w:t>project</w:t>
      </w:r>
      <w:r w:rsidR="00D768FF" w:rsidRPr="00D768FF">
        <w:t>s</w:t>
      </w:r>
      <w:r w:rsidRPr="00631C1B">
        <w:t xml:space="preserve"> exceeded their total intended number of accreditations</w:t>
      </w:r>
      <w:r w:rsidR="00F22B28" w:rsidRPr="00631C1B">
        <w:t xml:space="preserve"> by 281</w:t>
      </w:r>
      <w:r w:rsidRPr="00631C1B">
        <w:t xml:space="preserve">. </w:t>
      </w:r>
    </w:p>
    <w:p w14:paraId="5BCF665A" w14:textId="0D0FEB46" w:rsidR="005D2602" w:rsidRPr="00631C1B" w:rsidRDefault="004356A8" w:rsidP="009A3F2B">
      <w:pPr>
        <w:pStyle w:val="ListBullet"/>
      </w:pPr>
      <w:r w:rsidRPr="00631C1B">
        <w:t xml:space="preserve">All </w:t>
      </w:r>
      <w:r w:rsidR="002E112A" w:rsidRPr="00631C1B">
        <w:t>projects</w:t>
      </w:r>
      <w:r w:rsidR="00983BAE" w:rsidRPr="00631C1B">
        <w:t xml:space="preserve"> evidenced that they </w:t>
      </w:r>
      <w:r w:rsidR="002E112A" w:rsidRPr="00631C1B">
        <w:t>successful</w:t>
      </w:r>
      <w:r w:rsidR="00ED6D97" w:rsidRPr="00631C1B">
        <w:t>ly</w:t>
      </w:r>
      <w:r w:rsidR="002E112A" w:rsidRPr="00631C1B">
        <w:t xml:space="preserve"> provided a strong m</w:t>
      </w:r>
      <w:r w:rsidR="005D2602" w:rsidRPr="00631C1B">
        <w:t xml:space="preserve">ix of </w:t>
      </w:r>
      <w:r w:rsidR="00FB14CB" w:rsidRPr="00631C1B">
        <w:t>technical skills (</w:t>
      </w:r>
      <w:r w:rsidR="00983BAE" w:rsidRPr="00631C1B">
        <w:t xml:space="preserve">e.g. </w:t>
      </w:r>
      <w:r w:rsidR="00FB14CB" w:rsidRPr="00631C1B">
        <w:t>music and film production, dance, drama and public speaking</w:t>
      </w:r>
      <w:r w:rsidR="005D2602" w:rsidRPr="00631C1B">
        <w:t xml:space="preserve">) and </w:t>
      </w:r>
      <w:r w:rsidR="00FB14CB" w:rsidRPr="00631C1B">
        <w:t>social</w:t>
      </w:r>
      <w:r w:rsidR="005D2602" w:rsidRPr="00631C1B">
        <w:t xml:space="preserve"> skills (</w:t>
      </w:r>
      <w:r w:rsidR="00983BAE" w:rsidRPr="00631C1B">
        <w:t xml:space="preserve">e.g. </w:t>
      </w:r>
      <w:r w:rsidR="00FB14CB" w:rsidRPr="00631C1B">
        <w:t>team</w:t>
      </w:r>
      <w:r w:rsidR="00983BAE" w:rsidRPr="00631C1B">
        <w:t>work</w:t>
      </w:r>
      <w:r w:rsidR="00FB14CB" w:rsidRPr="00631C1B">
        <w:t xml:space="preserve">, communication, </w:t>
      </w:r>
      <w:r w:rsidR="00BD2500" w:rsidRPr="00631C1B">
        <w:t>empathy)</w:t>
      </w:r>
      <w:r w:rsidR="00B347A2" w:rsidRPr="00631C1B">
        <w:t>. These were particular</w:t>
      </w:r>
      <w:r w:rsidR="005D2602" w:rsidRPr="00631C1B">
        <w:t xml:space="preserve">ly vital </w:t>
      </w:r>
      <w:r w:rsidR="00B347A2" w:rsidRPr="00631C1B">
        <w:t xml:space="preserve">and unique for some </w:t>
      </w:r>
      <w:r w:rsidR="005D2602" w:rsidRPr="00631C1B">
        <w:t>target groups</w:t>
      </w:r>
      <w:r w:rsidR="00B347A2" w:rsidRPr="00631C1B">
        <w:t xml:space="preserve">, such as </w:t>
      </w:r>
      <w:proofErr w:type="spellStart"/>
      <w:r w:rsidR="00B347A2" w:rsidRPr="00631C1B">
        <w:t>YDance’s</w:t>
      </w:r>
      <w:proofErr w:type="spellEnd"/>
      <w:r w:rsidR="00B347A2" w:rsidRPr="00631C1B">
        <w:t xml:space="preserve"> work with the Scottish Prison Service</w:t>
      </w:r>
    </w:p>
    <w:p w14:paraId="46F6DF66" w14:textId="76C3278D" w:rsidR="00A21DF5" w:rsidRPr="00631C1B" w:rsidRDefault="004C7D84" w:rsidP="00A21DF5">
      <w:pPr>
        <w:pStyle w:val="ListBullet"/>
      </w:pPr>
      <w:r w:rsidRPr="00631C1B">
        <w:t>Y</w:t>
      </w:r>
      <w:r w:rsidR="00A21DF5" w:rsidRPr="00631C1B">
        <w:t xml:space="preserve">oung people were able to identify that they had an expanding skillset because of participation in the projects. Projects </w:t>
      </w:r>
      <w:r w:rsidR="00083E3F" w:rsidRPr="00631C1B">
        <w:t xml:space="preserve">frequently </w:t>
      </w:r>
      <w:r w:rsidR="00A21DF5" w:rsidRPr="00631C1B">
        <w:t>outline</w:t>
      </w:r>
      <w:r w:rsidR="00083E3F" w:rsidRPr="00631C1B">
        <w:t>d</w:t>
      </w:r>
      <w:r w:rsidR="00A21DF5" w:rsidRPr="00631C1B">
        <w:t xml:space="preserve"> the specific skills that participants wanted to develop in advance of their participation, and where possible offer bespoke content and support to target these skills gaps</w:t>
      </w:r>
      <w:r w:rsidR="00083E3F" w:rsidRPr="00631C1B">
        <w:t xml:space="preserve"> (e.g. </w:t>
      </w:r>
      <w:proofErr w:type="spellStart"/>
      <w:r w:rsidR="00083E3F" w:rsidRPr="00631C1B">
        <w:t>Reeltime</w:t>
      </w:r>
      <w:proofErr w:type="spellEnd"/>
      <w:r w:rsidR="00083E3F" w:rsidRPr="00631C1B">
        <w:t>)</w:t>
      </w:r>
      <w:r w:rsidR="00CA71FB" w:rsidRPr="00631C1B">
        <w:t>.</w:t>
      </w:r>
    </w:p>
    <w:p w14:paraId="40D50FC1" w14:textId="1A20364E" w:rsidR="00BD2E41" w:rsidRPr="00631C1B" w:rsidRDefault="00BD2E41" w:rsidP="00BD2E41">
      <w:pPr>
        <w:pStyle w:val="BodyText"/>
        <w:rPr>
          <w:b/>
        </w:rPr>
      </w:pPr>
      <w:r w:rsidRPr="00631C1B">
        <w:rPr>
          <w:b/>
        </w:rPr>
        <w:t>Open Fund</w:t>
      </w:r>
    </w:p>
    <w:p w14:paraId="4A2082DF" w14:textId="2C4D2489" w:rsidR="00401C22" w:rsidRPr="00631C1B" w:rsidRDefault="2A1DFB4F" w:rsidP="00F2311B">
      <w:pPr>
        <w:pStyle w:val="ListBullet"/>
      </w:pPr>
      <w:r w:rsidRPr="00631C1B">
        <w:t>The variety of projects</w:t>
      </w:r>
      <w:r w:rsidR="00AC77B8" w:rsidRPr="00631C1B">
        <w:t xml:space="preserve"> in the Open Fund</w:t>
      </w:r>
      <w:r w:rsidRPr="00631C1B">
        <w:t xml:space="preserve"> meant </w:t>
      </w:r>
      <w:r w:rsidR="00322E60" w:rsidRPr="00631C1B">
        <w:t>participants</w:t>
      </w:r>
      <w:r w:rsidRPr="00631C1B">
        <w:t xml:space="preserve"> </w:t>
      </w:r>
      <w:r w:rsidR="00FF4999" w:rsidRPr="00631C1B">
        <w:t xml:space="preserve">were able to </w:t>
      </w:r>
      <w:r w:rsidR="000B3F20" w:rsidRPr="00631C1B">
        <w:t>develop t</w:t>
      </w:r>
      <w:r w:rsidR="006A2182" w:rsidRPr="00631C1B">
        <w:t xml:space="preserve">echnical </w:t>
      </w:r>
      <w:r w:rsidRPr="00631C1B">
        <w:t>skills across music, drama, arts and crafts, dance and photograph</w:t>
      </w:r>
      <w:r w:rsidR="00E50DA1" w:rsidRPr="00631C1B">
        <w:t>y</w:t>
      </w:r>
      <w:r w:rsidR="005E2CE8" w:rsidRPr="00631C1B">
        <w:t xml:space="preserve">. </w:t>
      </w:r>
      <w:proofErr w:type="gramStart"/>
      <w:r w:rsidR="003D1C04" w:rsidRPr="00631C1B">
        <w:t>These included music production</w:t>
      </w:r>
      <w:proofErr w:type="gramEnd"/>
      <w:r w:rsidR="009C731E" w:rsidRPr="00631C1B">
        <w:t xml:space="preserve"> and editing, dance chorography and performance, film editing, amongst others</w:t>
      </w:r>
    </w:p>
    <w:p w14:paraId="065101C9" w14:textId="6E31935E" w:rsidR="008D567D" w:rsidRPr="00631C1B" w:rsidRDefault="2A1DFB4F" w:rsidP="008D567D">
      <w:pPr>
        <w:pStyle w:val="ListBullet"/>
      </w:pPr>
      <w:r w:rsidRPr="00631C1B">
        <w:t xml:space="preserve">Soft skills across </w:t>
      </w:r>
      <w:r w:rsidR="00AC77B8" w:rsidRPr="00631C1B">
        <w:t>most Open Fund</w:t>
      </w:r>
      <w:r w:rsidRPr="00631C1B">
        <w:t xml:space="preserve"> project</w:t>
      </w:r>
      <w:r w:rsidR="00984F4A" w:rsidRPr="00631C1B">
        <w:t xml:space="preserve"> included</w:t>
      </w:r>
      <w:r w:rsidRPr="00631C1B">
        <w:t xml:space="preserve"> </w:t>
      </w:r>
      <w:r w:rsidR="0002058A" w:rsidRPr="00631C1B">
        <w:t xml:space="preserve">teamwork, communication, leadership, planning, </w:t>
      </w:r>
      <w:r w:rsidRPr="00631C1B">
        <w:t>and mutual support, as well as learning how to creatively process ideas and feelings.</w:t>
      </w:r>
      <w:r w:rsidR="008D567D" w:rsidRPr="00631C1B">
        <w:t xml:space="preserve"> This was especially significant for those who had not taken part in mainstream education and social groups, or have </w:t>
      </w:r>
      <w:r w:rsidR="00E50DA1" w:rsidRPr="00631C1B">
        <w:t xml:space="preserve">additional </w:t>
      </w:r>
      <w:r w:rsidR="008D567D" w:rsidRPr="00631C1B">
        <w:t>learning needs</w:t>
      </w:r>
    </w:p>
    <w:p w14:paraId="682C5FD5" w14:textId="5F294F82" w:rsidR="00841EAE" w:rsidRPr="00631C1B" w:rsidRDefault="0000780A" w:rsidP="008D567D">
      <w:pPr>
        <w:pStyle w:val="ListBullet"/>
      </w:pPr>
      <w:r w:rsidRPr="00631C1B">
        <w:t xml:space="preserve">Successes in providing </w:t>
      </w:r>
      <w:r w:rsidR="00915ABF" w:rsidRPr="00631C1B">
        <w:t xml:space="preserve">personal and </w:t>
      </w:r>
      <w:r w:rsidR="00887851" w:rsidRPr="00631C1B">
        <w:t xml:space="preserve">physical </w:t>
      </w:r>
      <w:r w:rsidRPr="00631C1B">
        <w:t xml:space="preserve">skills </w:t>
      </w:r>
      <w:r w:rsidR="00887851" w:rsidRPr="00631C1B">
        <w:t>w</w:t>
      </w:r>
      <w:r w:rsidR="00915ABF" w:rsidRPr="00631C1B">
        <w:t xml:space="preserve">ere </w:t>
      </w:r>
      <w:r w:rsidRPr="00631C1B">
        <w:t xml:space="preserve">found in those projects who, </w:t>
      </w:r>
      <w:r w:rsidR="00887851" w:rsidRPr="00631C1B">
        <w:t>like TD1 Music Project</w:t>
      </w:r>
      <w:r w:rsidRPr="00631C1B">
        <w:t xml:space="preserve">, </w:t>
      </w:r>
      <w:r w:rsidR="008816BD" w:rsidRPr="00631C1B">
        <w:t>gave</w:t>
      </w:r>
      <w:r w:rsidR="00841EAE" w:rsidRPr="00631C1B">
        <w:t xml:space="preserve"> time</w:t>
      </w:r>
      <w:r w:rsidR="008816BD" w:rsidRPr="00631C1B">
        <w:t xml:space="preserve"> for mentors</w:t>
      </w:r>
      <w:r w:rsidR="00841EAE" w:rsidRPr="00631C1B">
        <w:t xml:space="preserve"> to develop their own ways of working based on the needs of the participants</w:t>
      </w:r>
      <w:r w:rsidR="00CA71FB" w:rsidRPr="00631C1B">
        <w:t>.</w:t>
      </w:r>
    </w:p>
    <w:p w14:paraId="4D704E79" w14:textId="01A1EBA4" w:rsidR="00B04362" w:rsidRPr="00631C1B" w:rsidRDefault="00B04362" w:rsidP="00B04362">
      <w:pPr>
        <w:pStyle w:val="Subheadingnonumber"/>
      </w:pPr>
      <w:r w:rsidRPr="00631C1B">
        <w:t>Key findings for Targeted Fund across all years</w:t>
      </w:r>
    </w:p>
    <w:p w14:paraId="3A0486B0" w14:textId="2DEA028B" w:rsidR="000B708D" w:rsidRPr="00631C1B" w:rsidRDefault="000B708D" w:rsidP="006B19E2">
      <w:pPr>
        <w:pStyle w:val="ListBullet"/>
      </w:pPr>
      <w:r w:rsidRPr="00631C1B">
        <w:t>Whilst accreditation</w:t>
      </w:r>
      <w:r w:rsidR="006B19E2" w:rsidRPr="00631C1B">
        <w:t xml:space="preserve"> targets </w:t>
      </w:r>
      <w:r w:rsidRPr="00631C1B">
        <w:t>were not met</w:t>
      </w:r>
      <w:r w:rsidR="00BC2020" w:rsidRPr="00631C1B">
        <w:t xml:space="preserve"> for many of the Targeted Fund organisations</w:t>
      </w:r>
      <w:r w:rsidRPr="00631C1B">
        <w:t>, where they were provided</w:t>
      </w:r>
      <w:r w:rsidR="00B302F0" w:rsidRPr="00631C1B">
        <w:t xml:space="preserve"> it </w:t>
      </w:r>
      <w:r w:rsidRPr="00631C1B">
        <w:t>had significant impac</w:t>
      </w:r>
      <w:r w:rsidR="006B19E2" w:rsidRPr="00631C1B">
        <w:t>t</w:t>
      </w:r>
      <w:r w:rsidR="00B302F0" w:rsidRPr="00631C1B">
        <w:t xml:space="preserve"> on the participant</w:t>
      </w:r>
      <w:r w:rsidR="00A51084" w:rsidRPr="00631C1B">
        <w:t>s</w:t>
      </w:r>
      <w:r w:rsidR="007932A4" w:rsidRPr="00631C1B">
        <w:t>. Often participants had dropped out of formal education before they had received formal qualifications.</w:t>
      </w:r>
      <w:r w:rsidR="00254045" w:rsidRPr="00631C1B">
        <w:t xml:space="preserve"> Achieving such an accreditation </w:t>
      </w:r>
      <w:r w:rsidR="006A3048" w:rsidRPr="00631C1B">
        <w:t>help</w:t>
      </w:r>
      <w:r w:rsidR="00B302F0" w:rsidRPr="00631C1B">
        <w:t>ed</w:t>
      </w:r>
      <w:r w:rsidR="006A3048" w:rsidRPr="00631C1B">
        <w:t xml:space="preserve"> legitimise their commitment</w:t>
      </w:r>
      <w:r w:rsidR="00B302F0" w:rsidRPr="00631C1B">
        <w:t xml:space="preserve"> to the </w:t>
      </w:r>
      <w:r w:rsidR="00C2533F" w:rsidRPr="00631C1B">
        <w:t>course</w:t>
      </w:r>
      <w:r w:rsidR="006A3048" w:rsidRPr="00631C1B">
        <w:t xml:space="preserve">, as well as </w:t>
      </w:r>
      <w:r w:rsidR="00A51084" w:rsidRPr="00631C1B">
        <w:t xml:space="preserve">providing </w:t>
      </w:r>
      <w:r w:rsidR="006A3048" w:rsidRPr="00631C1B">
        <w:t>something tangible to share</w:t>
      </w:r>
      <w:r w:rsidR="00C2533F" w:rsidRPr="00631C1B">
        <w:t xml:space="preserve"> for</w:t>
      </w:r>
      <w:r w:rsidR="006A3048" w:rsidRPr="00631C1B">
        <w:t xml:space="preserve"> future </w:t>
      </w:r>
      <w:r w:rsidR="00C2533F" w:rsidRPr="00631C1B">
        <w:t xml:space="preserve">employment and educational </w:t>
      </w:r>
      <w:r w:rsidR="006A3048" w:rsidRPr="00631C1B">
        <w:t>opportunitie</w:t>
      </w:r>
      <w:r w:rsidR="00C2533F" w:rsidRPr="00631C1B">
        <w:t>s</w:t>
      </w:r>
      <w:r w:rsidR="006A3048" w:rsidRPr="00631C1B">
        <w:t xml:space="preserve">  </w:t>
      </w:r>
    </w:p>
    <w:p w14:paraId="5AAFE2D4" w14:textId="43230748" w:rsidR="000B708D" w:rsidRPr="00631C1B" w:rsidRDefault="00785461" w:rsidP="000B708D">
      <w:pPr>
        <w:pStyle w:val="ListBullet"/>
      </w:pPr>
      <w:r w:rsidRPr="00631C1B">
        <w:t xml:space="preserve">As with annual reports, projects </w:t>
      </w:r>
      <w:r w:rsidR="00EB70DE" w:rsidRPr="00631C1B">
        <w:t xml:space="preserve">successful </w:t>
      </w:r>
      <w:r w:rsidRPr="00631C1B">
        <w:t xml:space="preserve">provided </w:t>
      </w:r>
      <w:r w:rsidR="00EB70DE" w:rsidRPr="00631C1B">
        <w:t>a w</w:t>
      </w:r>
      <w:r w:rsidR="000B708D" w:rsidRPr="00631C1B">
        <w:t>ide range of skills (soft/hard/technical)</w:t>
      </w:r>
      <w:r w:rsidR="00EB70DE" w:rsidRPr="00631C1B">
        <w:t xml:space="preserve"> to the young people</w:t>
      </w:r>
      <w:r w:rsidR="000B708D" w:rsidRPr="00631C1B">
        <w:t xml:space="preserve">, especially when working with </w:t>
      </w:r>
      <w:r w:rsidR="00085556" w:rsidRPr="00631C1B">
        <w:t xml:space="preserve">a </w:t>
      </w:r>
      <w:r w:rsidR="000B708D" w:rsidRPr="00631C1B">
        <w:t>wide range of partners who could play to their strengths, providing a 'spectrum of engagements'</w:t>
      </w:r>
    </w:p>
    <w:p w14:paraId="289DD781" w14:textId="0F5AB12F" w:rsidR="000B708D" w:rsidRPr="00631C1B" w:rsidRDefault="00EB70DE" w:rsidP="009A3F2B">
      <w:pPr>
        <w:pStyle w:val="ListBullet"/>
      </w:pPr>
      <w:r w:rsidRPr="00631C1B">
        <w:t xml:space="preserve">Several </w:t>
      </w:r>
      <w:r w:rsidR="002B54E1" w:rsidRPr="00631C1B">
        <w:t xml:space="preserve">organisations reflected on how </w:t>
      </w:r>
      <w:r w:rsidR="000B708D" w:rsidRPr="00631C1B">
        <w:t xml:space="preserve">Arts Award took longer </w:t>
      </w:r>
      <w:r w:rsidR="002B54E1" w:rsidRPr="00631C1B">
        <w:t>and</w:t>
      </w:r>
      <w:r w:rsidR="000B708D" w:rsidRPr="00631C1B">
        <w:t xml:space="preserve"> demanded more resources than expected</w:t>
      </w:r>
      <w:r w:rsidR="002B54E1" w:rsidRPr="00631C1B">
        <w:t>,</w:t>
      </w:r>
      <w:r w:rsidR="000B708D" w:rsidRPr="00631C1B">
        <w:t xml:space="preserve"> with </w:t>
      </w:r>
      <w:r w:rsidR="002B54E1" w:rsidRPr="00631C1B">
        <w:t>‘</w:t>
      </w:r>
      <w:r w:rsidR="000B708D" w:rsidRPr="00631C1B">
        <w:t>many participants dropping out before they had finished</w:t>
      </w:r>
      <w:r w:rsidR="002B54E1" w:rsidRPr="00631C1B">
        <w:t>’</w:t>
      </w:r>
      <w:r w:rsidR="000B708D" w:rsidRPr="00631C1B">
        <w:t xml:space="preserve">. For </w:t>
      </w:r>
      <w:r w:rsidR="006627B7" w:rsidRPr="00631C1B">
        <w:t>certain</w:t>
      </w:r>
      <w:r w:rsidR="000B708D" w:rsidRPr="00631C1B">
        <w:t xml:space="preserve"> groups A</w:t>
      </w:r>
      <w:r w:rsidR="006627B7" w:rsidRPr="00631C1B">
        <w:t xml:space="preserve">rts </w:t>
      </w:r>
      <w:r w:rsidR="000B708D" w:rsidRPr="00631C1B">
        <w:t>A</w:t>
      </w:r>
      <w:r w:rsidR="006627B7" w:rsidRPr="00631C1B">
        <w:t>ward</w:t>
      </w:r>
      <w:r w:rsidR="000B708D" w:rsidRPr="00631C1B">
        <w:t xml:space="preserve"> wasn</w:t>
      </w:r>
      <w:r w:rsidR="006627B7" w:rsidRPr="00631C1B">
        <w:t>’t</w:t>
      </w:r>
      <w:r w:rsidR="000B708D" w:rsidRPr="00631C1B">
        <w:t xml:space="preserve"> appropriate</w:t>
      </w:r>
      <w:r w:rsidR="006627B7" w:rsidRPr="00631C1B">
        <w:t xml:space="preserve"> or</w:t>
      </w:r>
      <w:r w:rsidR="000B708D" w:rsidRPr="00631C1B">
        <w:t xml:space="preserve"> significant</w:t>
      </w:r>
      <w:r w:rsidR="006627B7" w:rsidRPr="00631C1B">
        <w:t xml:space="preserve"> for them</w:t>
      </w:r>
    </w:p>
    <w:p w14:paraId="4D6B6C8C" w14:textId="79C8343C" w:rsidR="0071270C" w:rsidRPr="00631C1B" w:rsidRDefault="000A5DDC" w:rsidP="00CA71FB">
      <w:pPr>
        <w:pStyle w:val="ListBullet"/>
      </w:pPr>
      <w:r w:rsidRPr="00631C1B">
        <w:t xml:space="preserve">There were </w:t>
      </w:r>
      <w:r w:rsidR="00FE0FE4" w:rsidRPr="00631C1B">
        <w:t xml:space="preserve">several notable </w:t>
      </w:r>
      <w:r w:rsidRPr="00631C1B">
        <w:t>successful mechanisms organisations adopted for developing physical and personal skills</w:t>
      </w:r>
      <w:r w:rsidR="004D144E" w:rsidRPr="00631C1B">
        <w:t>. First, e</w:t>
      </w:r>
      <w:r w:rsidR="000B708D" w:rsidRPr="00631C1B">
        <w:t>ffective partner delivery for meeting accreditation target</w:t>
      </w:r>
      <w:r w:rsidR="004D144E" w:rsidRPr="00631C1B">
        <w:t>.</w:t>
      </w:r>
      <w:r w:rsidR="002E114E" w:rsidRPr="00631C1B">
        <w:t xml:space="preserve"> Here, they were able to contract programming related to accreditation</w:t>
      </w:r>
      <w:r w:rsidR="00D50492" w:rsidRPr="00631C1B">
        <w:t>.</w:t>
      </w:r>
      <w:r w:rsidR="004D144E" w:rsidRPr="00631C1B">
        <w:t xml:space="preserve"> Second, </w:t>
      </w:r>
      <w:r w:rsidR="00D50492" w:rsidRPr="00631C1B">
        <w:t xml:space="preserve">have regular </w:t>
      </w:r>
      <w:r w:rsidR="004D144E" w:rsidRPr="00631C1B">
        <w:t>d</w:t>
      </w:r>
      <w:r w:rsidR="000B708D" w:rsidRPr="00631C1B">
        <w:t>iscussion</w:t>
      </w:r>
      <w:r w:rsidR="00D50492" w:rsidRPr="00631C1B">
        <w:t>s</w:t>
      </w:r>
      <w:r w:rsidR="000B708D" w:rsidRPr="00631C1B">
        <w:t xml:space="preserve"> on appropriateness of </w:t>
      </w:r>
      <w:r w:rsidR="004D144E" w:rsidRPr="00631C1B">
        <w:t>accreditation</w:t>
      </w:r>
      <w:r w:rsidR="000B708D" w:rsidRPr="00631C1B">
        <w:t xml:space="preserve"> at a programme level</w:t>
      </w:r>
      <w:r w:rsidR="00181D4E" w:rsidRPr="00631C1B">
        <w:t xml:space="preserve">. For example, </w:t>
      </w:r>
      <w:proofErr w:type="spellStart"/>
      <w:r w:rsidR="000B708D" w:rsidRPr="00631C1B">
        <w:t>Y</w:t>
      </w:r>
      <w:r w:rsidR="00784085" w:rsidRPr="00631C1B">
        <w:t>D</w:t>
      </w:r>
      <w:r w:rsidR="000B708D" w:rsidRPr="00631C1B">
        <w:t>ance</w:t>
      </w:r>
      <w:proofErr w:type="spellEnd"/>
      <w:r w:rsidR="000B708D" w:rsidRPr="00631C1B">
        <w:t xml:space="preserve"> </w:t>
      </w:r>
      <w:r w:rsidR="00784085" w:rsidRPr="00631C1B">
        <w:t xml:space="preserve">found the </w:t>
      </w:r>
      <w:r w:rsidR="000B708D" w:rsidRPr="00631C1B">
        <w:t xml:space="preserve">accreditation being </w:t>
      </w:r>
      <w:r w:rsidR="00D50492" w:rsidRPr="00631C1B">
        <w:t>‘</w:t>
      </w:r>
      <w:r w:rsidR="000B708D" w:rsidRPr="00631C1B">
        <w:t>a really useful device</w:t>
      </w:r>
      <w:r w:rsidR="00D50492" w:rsidRPr="00631C1B">
        <w:t>’</w:t>
      </w:r>
      <w:r w:rsidR="00784085" w:rsidRPr="00631C1B">
        <w:t xml:space="preserve">, as participations were </w:t>
      </w:r>
      <w:r w:rsidR="000B708D" w:rsidRPr="00631C1B">
        <w:t xml:space="preserve">in prison </w:t>
      </w:r>
      <w:r w:rsidR="00784085" w:rsidRPr="00631C1B">
        <w:t xml:space="preserve">with little distractions or other </w:t>
      </w:r>
      <w:r w:rsidR="002A1694" w:rsidRPr="00631C1B">
        <w:t>commitments</w:t>
      </w:r>
      <w:r w:rsidR="00D50492" w:rsidRPr="00631C1B">
        <w:t xml:space="preserve">. </w:t>
      </w:r>
      <w:r w:rsidR="00D50492" w:rsidRPr="00631C1B">
        <w:lastRenderedPageBreak/>
        <w:t>Whilst H</w:t>
      </w:r>
      <w:r w:rsidR="000B708D" w:rsidRPr="00631C1B">
        <w:t>ot Chocolate</w:t>
      </w:r>
      <w:r w:rsidR="00784085" w:rsidRPr="00631C1B">
        <w:t>,</w:t>
      </w:r>
      <w:r w:rsidR="000B708D" w:rsidRPr="00631C1B">
        <w:t xml:space="preserve"> where </w:t>
      </w:r>
      <w:r w:rsidR="001B1B79" w:rsidRPr="00631C1B">
        <w:t>participation is much more fluid</w:t>
      </w:r>
      <w:r w:rsidR="00B2665A" w:rsidRPr="00631C1B">
        <w:t xml:space="preserve">, found that </w:t>
      </w:r>
      <w:r w:rsidR="000B708D" w:rsidRPr="00631C1B">
        <w:t>drop in</w:t>
      </w:r>
      <w:r w:rsidR="00B2665A" w:rsidRPr="00631C1B">
        <w:t>s</w:t>
      </w:r>
      <w:r w:rsidR="000B708D" w:rsidRPr="00631C1B">
        <w:t xml:space="preserve"> and multi-level</w:t>
      </w:r>
      <w:r w:rsidR="001B1B79" w:rsidRPr="00631C1B">
        <w:t xml:space="preserve"> types of engagements</w:t>
      </w:r>
      <w:r w:rsidR="00B2665A" w:rsidRPr="00631C1B">
        <w:t xml:space="preserve"> </w:t>
      </w:r>
      <w:r w:rsidR="00D768FF">
        <w:t xml:space="preserve">were </w:t>
      </w:r>
      <w:r w:rsidR="00306335" w:rsidRPr="00631C1B">
        <w:t>ill fitted</w:t>
      </w:r>
      <w:r w:rsidR="00B2665A" w:rsidRPr="00631C1B">
        <w:t xml:space="preserve"> with the requ</w:t>
      </w:r>
      <w:r w:rsidR="00306335" w:rsidRPr="00631C1B">
        <w:t>irements of certain accreditations</w:t>
      </w:r>
      <w:r w:rsidR="002C24D9" w:rsidRPr="00631C1B">
        <w:t xml:space="preserve"> but provided an appropriate means of engagement for their communities</w:t>
      </w:r>
      <w:r w:rsidR="00306335" w:rsidRPr="00631C1B">
        <w:t>.</w:t>
      </w:r>
      <w:r w:rsidR="001B1B79" w:rsidRPr="00631C1B">
        <w:t xml:space="preserve"> </w:t>
      </w:r>
    </w:p>
    <w:p w14:paraId="14FECAD3" w14:textId="77777777" w:rsidR="00CA71FB" w:rsidRPr="00631C1B" w:rsidRDefault="00CA71FB" w:rsidP="00CA71FB">
      <w:pPr>
        <w:pStyle w:val="ListBullet"/>
        <w:numPr>
          <w:ilvl w:val="0"/>
          <w:numId w:val="0"/>
        </w:numPr>
        <w:ind w:left="284" w:hanging="284"/>
      </w:pPr>
    </w:p>
    <w:p w14:paraId="10CF0AF0" w14:textId="77806F8E" w:rsidR="00AC4A62" w:rsidRPr="00631C1B" w:rsidRDefault="00AC4A62" w:rsidP="00AC4A62">
      <w:pPr>
        <w:pStyle w:val="Caption"/>
      </w:pPr>
      <w:bookmarkStart w:id="30" w:name="_Toc42266744"/>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9</w:t>
      </w:r>
      <w:r w:rsidRPr="00631C1B">
        <w:rPr>
          <w:noProof/>
        </w:rPr>
        <w:fldChar w:fldCharType="end"/>
      </w:r>
      <w:r w:rsidRPr="00631C1B">
        <w:t xml:space="preserve">  Progress towards targets in developing physical and personal skills – based on grant offer letter – Year 3</w:t>
      </w:r>
      <w:bookmarkEnd w:id="30"/>
    </w:p>
    <w:tbl>
      <w:tblPr>
        <w:tblStyle w:val="BOPtable"/>
        <w:tblW w:w="5000" w:type="pct"/>
        <w:tblLook w:val="04A0" w:firstRow="1" w:lastRow="0" w:firstColumn="1" w:lastColumn="0" w:noHBand="0" w:noVBand="1"/>
      </w:tblPr>
      <w:tblGrid>
        <w:gridCol w:w="1316"/>
        <w:gridCol w:w="789"/>
        <w:gridCol w:w="770"/>
        <w:gridCol w:w="709"/>
        <w:gridCol w:w="855"/>
        <w:gridCol w:w="709"/>
        <w:gridCol w:w="720"/>
        <w:gridCol w:w="128"/>
        <w:gridCol w:w="1105"/>
      </w:tblGrid>
      <w:tr w:rsidR="00AC4A62" w:rsidRPr="00631C1B" w14:paraId="2B1B44C2" w14:textId="77777777" w:rsidTr="009A3F2B">
        <w:trPr>
          <w:cnfStyle w:val="100000000000" w:firstRow="1" w:lastRow="0" w:firstColumn="0" w:lastColumn="0" w:oddVBand="0" w:evenVBand="0" w:oddHBand="0" w:evenHBand="0" w:firstRowFirstColumn="0" w:firstRowLastColumn="0" w:lastRowFirstColumn="0" w:lastRowLastColumn="0"/>
        </w:trPr>
        <w:tc>
          <w:tcPr>
            <w:tcW w:w="927" w:type="pct"/>
            <w:tcBorders>
              <w:right w:val="single" w:sz="4" w:space="0" w:color="auto"/>
            </w:tcBorders>
          </w:tcPr>
          <w:p w14:paraId="71E34578" w14:textId="77777777" w:rsidR="00AC4A62" w:rsidRPr="00631C1B" w:rsidRDefault="00AC4A62" w:rsidP="009A3F2B"/>
        </w:tc>
        <w:tc>
          <w:tcPr>
            <w:tcW w:w="1098" w:type="pct"/>
            <w:gridSpan w:val="2"/>
            <w:tcBorders>
              <w:left w:val="single" w:sz="4" w:space="0" w:color="auto"/>
              <w:right w:val="single" w:sz="4" w:space="0" w:color="auto"/>
            </w:tcBorders>
          </w:tcPr>
          <w:p w14:paraId="36ECF3D9" w14:textId="77777777" w:rsidR="00AC4A62" w:rsidRPr="00631C1B" w:rsidRDefault="00AC4A62" w:rsidP="009A3F2B">
            <w:pPr>
              <w:jc w:val="center"/>
            </w:pPr>
            <w:r w:rsidRPr="00631C1B">
              <w:t>Targeted Fund</w:t>
            </w:r>
          </w:p>
        </w:tc>
        <w:tc>
          <w:tcPr>
            <w:tcW w:w="1101" w:type="pct"/>
            <w:gridSpan w:val="2"/>
            <w:tcBorders>
              <w:left w:val="single" w:sz="4" w:space="0" w:color="auto"/>
              <w:right w:val="single" w:sz="4" w:space="0" w:color="auto"/>
            </w:tcBorders>
          </w:tcPr>
          <w:p w14:paraId="3B538AFF" w14:textId="77777777" w:rsidR="00AC4A62" w:rsidRPr="00631C1B" w:rsidRDefault="00AC4A62" w:rsidP="009A3F2B">
            <w:pPr>
              <w:jc w:val="center"/>
            </w:pPr>
            <w:r w:rsidRPr="00631C1B">
              <w:t>Open Fund</w:t>
            </w:r>
          </w:p>
        </w:tc>
        <w:tc>
          <w:tcPr>
            <w:tcW w:w="1005" w:type="pct"/>
            <w:gridSpan w:val="2"/>
            <w:tcBorders>
              <w:left w:val="single" w:sz="4" w:space="0" w:color="auto"/>
              <w:right w:val="single" w:sz="4" w:space="0" w:color="auto"/>
            </w:tcBorders>
          </w:tcPr>
          <w:p w14:paraId="0F083733" w14:textId="77777777" w:rsidR="00AC4A62" w:rsidRPr="00631C1B" w:rsidRDefault="00AC4A62" w:rsidP="009A3F2B">
            <w:pPr>
              <w:jc w:val="center"/>
              <w:rPr>
                <w:b w:val="0"/>
              </w:rPr>
            </w:pPr>
            <w:r w:rsidRPr="00631C1B">
              <w:t>Programme</w:t>
            </w:r>
          </w:p>
          <w:p w14:paraId="493A5BD8" w14:textId="77777777" w:rsidR="00AC4A62" w:rsidRPr="00631C1B" w:rsidRDefault="00AC4A62" w:rsidP="009A3F2B">
            <w:pPr>
              <w:jc w:val="center"/>
            </w:pPr>
            <w:r w:rsidRPr="00631C1B">
              <w:t>Total</w:t>
            </w:r>
          </w:p>
        </w:tc>
        <w:tc>
          <w:tcPr>
            <w:tcW w:w="868" w:type="pct"/>
            <w:gridSpan w:val="2"/>
            <w:tcBorders>
              <w:left w:val="single" w:sz="4" w:space="0" w:color="auto"/>
            </w:tcBorders>
          </w:tcPr>
          <w:p w14:paraId="5EE24FC6" w14:textId="77777777" w:rsidR="00AC4A62" w:rsidRPr="00631C1B" w:rsidRDefault="00AC4A62" w:rsidP="009A3F2B">
            <w:pPr>
              <w:jc w:val="center"/>
            </w:pPr>
          </w:p>
        </w:tc>
      </w:tr>
      <w:tr w:rsidR="00AC4A62" w:rsidRPr="00631C1B" w14:paraId="69C0339E" w14:textId="77777777" w:rsidTr="009A3F2B">
        <w:tc>
          <w:tcPr>
            <w:tcW w:w="927" w:type="pct"/>
            <w:tcBorders>
              <w:top w:val="single" w:sz="12" w:space="0" w:color="3C5896" w:themeColor="accent1"/>
              <w:bottom w:val="single" w:sz="12" w:space="0" w:color="3C5896" w:themeColor="accent1"/>
              <w:right w:val="single" w:sz="4" w:space="0" w:color="auto"/>
            </w:tcBorders>
          </w:tcPr>
          <w:p w14:paraId="50299A8C" w14:textId="77777777" w:rsidR="00AC4A62" w:rsidRPr="00631C1B" w:rsidRDefault="00AC4A62" w:rsidP="009A3F2B">
            <w:pPr>
              <w:jc w:val="center"/>
              <w:rPr>
                <w:b/>
                <w:color w:val="3C5896"/>
              </w:rPr>
            </w:pPr>
          </w:p>
        </w:tc>
        <w:tc>
          <w:tcPr>
            <w:tcW w:w="556" w:type="pct"/>
            <w:tcBorders>
              <w:top w:val="single" w:sz="12" w:space="0" w:color="3C5896" w:themeColor="accent1"/>
              <w:left w:val="single" w:sz="4" w:space="0" w:color="auto"/>
              <w:bottom w:val="single" w:sz="12" w:space="0" w:color="3C5896" w:themeColor="accent1"/>
              <w:right w:val="single" w:sz="4" w:space="0" w:color="auto"/>
            </w:tcBorders>
          </w:tcPr>
          <w:p w14:paraId="671ABF0E" w14:textId="77777777" w:rsidR="00AC4A62" w:rsidRPr="00631C1B" w:rsidRDefault="00AC4A62" w:rsidP="009A3F2B">
            <w:pPr>
              <w:jc w:val="center"/>
              <w:rPr>
                <w:b/>
                <w:color w:val="3C5896"/>
                <w:sz w:val="18"/>
                <w:szCs w:val="18"/>
              </w:rPr>
            </w:pPr>
            <w:r w:rsidRPr="00631C1B">
              <w:rPr>
                <w:b/>
                <w:color w:val="3C5896"/>
                <w:sz w:val="18"/>
                <w:szCs w:val="18"/>
              </w:rPr>
              <w:t>Grant offer letter target</w:t>
            </w:r>
          </w:p>
        </w:tc>
        <w:tc>
          <w:tcPr>
            <w:tcW w:w="542" w:type="pct"/>
            <w:tcBorders>
              <w:top w:val="single" w:sz="12" w:space="0" w:color="3C5896" w:themeColor="accent1"/>
              <w:left w:val="single" w:sz="4" w:space="0" w:color="auto"/>
              <w:bottom w:val="single" w:sz="12" w:space="0" w:color="3C5896" w:themeColor="accent1"/>
              <w:right w:val="single" w:sz="4" w:space="0" w:color="auto"/>
            </w:tcBorders>
          </w:tcPr>
          <w:p w14:paraId="08205FE5" w14:textId="77777777" w:rsidR="00AC4A62" w:rsidRPr="00631C1B" w:rsidRDefault="00AC4A62" w:rsidP="009A3F2B">
            <w:pPr>
              <w:jc w:val="center"/>
              <w:rPr>
                <w:b/>
                <w:color w:val="3C5896"/>
                <w:sz w:val="18"/>
                <w:szCs w:val="18"/>
              </w:rPr>
            </w:pPr>
            <w:r w:rsidRPr="00631C1B">
              <w:rPr>
                <w:b/>
                <w:color w:val="3C5896"/>
                <w:sz w:val="18"/>
                <w:szCs w:val="18"/>
              </w:rPr>
              <w:t>Actual</w:t>
            </w:r>
          </w:p>
        </w:tc>
        <w:tc>
          <w:tcPr>
            <w:tcW w:w="499" w:type="pct"/>
            <w:tcBorders>
              <w:top w:val="single" w:sz="12" w:space="0" w:color="3C5896" w:themeColor="accent1"/>
              <w:left w:val="single" w:sz="4" w:space="0" w:color="auto"/>
              <w:bottom w:val="single" w:sz="12" w:space="0" w:color="3C5896" w:themeColor="accent1"/>
              <w:right w:val="single" w:sz="4" w:space="0" w:color="auto"/>
            </w:tcBorders>
          </w:tcPr>
          <w:p w14:paraId="5D0B8591" w14:textId="77777777" w:rsidR="00AC4A62" w:rsidRPr="00631C1B" w:rsidRDefault="00AC4A62" w:rsidP="009A3F2B">
            <w:pPr>
              <w:jc w:val="center"/>
              <w:rPr>
                <w:b/>
                <w:color w:val="3C5896"/>
                <w:sz w:val="18"/>
                <w:szCs w:val="18"/>
              </w:rPr>
            </w:pPr>
            <w:r w:rsidRPr="00631C1B">
              <w:rPr>
                <w:b/>
                <w:color w:val="3C5896"/>
                <w:sz w:val="18"/>
                <w:szCs w:val="18"/>
              </w:rPr>
              <w:t>Grant offer letter target</w:t>
            </w:r>
          </w:p>
        </w:tc>
        <w:tc>
          <w:tcPr>
            <w:tcW w:w="602" w:type="pct"/>
            <w:tcBorders>
              <w:top w:val="single" w:sz="12" w:space="0" w:color="3C5896" w:themeColor="accent1"/>
              <w:left w:val="single" w:sz="4" w:space="0" w:color="auto"/>
              <w:bottom w:val="single" w:sz="12" w:space="0" w:color="3C5896" w:themeColor="accent1"/>
              <w:right w:val="single" w:sz="4" w:space="0" w:color="auto"/>
            </w:tcBorders>
          </w:tcPr>
          <w:p w14:paraId="1E10006B" w14:textId="77777777" w:rsidR="00AC4A62" w:rsidRPr="00631C1B" w:rsidRDefault="00AC4A62" w:rsidP="009A3F2B">
            <w:pPr>
              <w:jc w:val="center"/>
              <w:rPr>
                <w:b/>
                <w:color w:val="3C5896"/>
                <w:sz w:val="18"/>
                <w:szCs w:val="18"/>
              </w:rPr>
            </w:pPr>
            <w:r w:rsidRPr="00631C1B">
              <w:rPr>
                <w:b/>
                <w:color w:val="3C5896"/>
                <w:sz w:val="18"/>
                <w:szCs w:val="18"/>
              </w:rPr>
              <w:t>Actual</w:t>
            </w:r>
          </w:p>
        </w:tc>
        <w:tc>
          <w:tcPr>
            <w:tcW w:w="499" w:type="pct"/>
            <w:tcBorders>
              <w:top w:val="single" w:sz="12" w:space="0" w:color="3C5896" w:themeColor="accent1"/>
              <w:left w:val="single" w:sz="4" w:space="0" w:color="auto"/>
              <w:bottom w:val="single" w:sz="12" w:space="0" w:color="3C5896" w:themeColor="accent1"/>
              <w:right w:val="single" w:sz="4" w:space="0" w:color="auto"/>
            </w:tcBorders>
          </w:tcPr>
          <w:p w14:paraId="66ECBC32" w14:textId="77777777" w:rsidR="00AC4A62" w:rsidRPr="00631C1B" w:rsidRDefault="00AC4A62" w:rsidP="009A3F2B">
            <w:pPr>
              <w:jc w:val="center"/>
              <w:rPr>
                <w:b/>
                <w:color w:val="3C5896"/>
                <w:sz w:val="18"/>
                <w:szCs w:val="18"/>
              </w:rPr>
            </w:pPr>
            <w:r w:rsidRPr="00631C1B">
              <w:rPr>
                <w:b/>
                <w:color w:val="3C5896"/>
                <w:sz w:val="18"/>
                <w:szCs w:val="18"/>
              </w:rPr>
              <w:t>Grant offer letter target</w:t>
            </w:r>
          </w:p>
        </w:tc>
        <w:tc>
          <w:tcPr>
            <w:tcW w:w="507" w:type="pct"/>
            <w:tcBorders>
              <w:top w:val="single" w:sz="12" w:space="0" w:color="3C5896" w:themeColor="accent1"/>
              <w:left w:val="single" w:sz="4" w:space="0" w:color="auto"/>
              <w:bottom w:val="single" w:sz="12" w:space="0" w:color="3C5896" w:themeColor="accent1"/>
              <w:right w:val="single" w:sz="4" w:space="0" w:color="auto"/>
            </w:tcBorders>
          </w:tcPr>
          <w:p w14:paraId="22FCB444" w14:textId="77777777" w:rsidR="00AC4A62" w:rsidRPr="00631C1B" w:rsidRDefault="00AC4A62" w:rsidP="009A3F2B">
            <w:pPr>
              <w:jc w:val="center"/>
              <w:rPr>
                <w:b/>
                <w:color w:val="3C5896"/>
                <w:sz w:val="18"/>
                <w:szCs w:val="18"/>
              </w:rPr>
            </w:pPr>
            <w:r w:rsidRPr="00631C1B">
              <w:rPr>
                <w:b/>
                <w:color w:val="3C5896"/>
                <w:sz w:val="18"/>
                <w:szCs w:val="18"/>
              </w:rPr>
              <w:t>Actual</w:t>
            </w:r>
          </w:p>
        </w:tc>
        <w:tc>
          <w:tcPr>
            <w:tcW w:w="90" w:type="pct"/>
            <w:tcBorders>
              <w:top w:val="single" w:sz="12" w:space="0" w:color="3C5896" w:themeColor="accent1"/>
              <w:left w:val="single" w:sz="4" w:space="0" w:color="auto"/>
              <w:bottom w:val="single" w:sz="12" w:space="0" w:color="3C5896" w:themeColor="accent1"/>
            </w:tcBorders>
          </w:tcPr>
          <w:p w14:paraId="539C4FF8" w14:textId="77777777" w:rsidR="00AC4A62" w:rsidRPr="00631C1B" w:rsidRDefault="00AC4A62" w:rsidP="009A3F2B">
            <w:pPr>
              <w:jc w:val="center"/>
              <w:rPr>
                <w:b/>
                <w:color w:val="3C5896"/>
                <w:sz w:val="18"/>
                <w:szCs w:val="18"/>
              </w:rPr>
            </w:pPr>
          </w:p>
        </w:tc>
        <w:tc>
          <w:tcPr>
            <w:tcW w:w="778" w:type="pct"/>
            <w:tcBorders>
              <w:top w:val="single" w:sz="12" w:space="0" w:color="3C5896" w:themeColor="accent1"/>
              <w:bottom w:val="single" w:sz="12" w:space="0" w:color="3C5896" w:themeColor="accent1"/>
            </w:tcBorders>
          </w:tcPr>
          <w:p w14:paraId="2EB4D0EF" w14:textId="77777777" w:rsidR="00AC4A62" w:rsidRPr="00631C1B" w:rsidRDefault="00AC4A62" w:rsidP="009A3F2B">
            <w:pPr>
              <w:jc w:val="center"/>
              <w:rPr>
                <w:b/>
                <w:color w:val="3C5896"/>
                <w:sz w:val="18"/>
                <w:szCs w:val="18"/>
              </w:rPr>
            </w:pPr>
            <w:r w:rsidRPr="00631C1B">
              <w:rPr>
                <w:b/>
                <w:color w:val="3C5896"/>
                <w:sz w:val="18"/>
                <w:szCs w:val="18"/>
              </w:rPr>
              <w:t>Variance</w:t>
            </w:r>
          </w:p>
        </w:tc>
      </w:tr>
      <w:tr w:rsidR="00AC4A62" w:rsidRPr="00631C1B" w14:paraId="06CCDDC5" w14:textId="77777777" w:rsidTr="009A3F2B">
        <w:tc>
          <w:tcPr>
            <w:tcW w:w="927" w:type="pct"/>
            <w:tcBorders>
              <w:top w:val="single" w:sz="12" w:space="0" w:color="3C5896" w:themeColor="accent1"/>
              <w:bottom w:val="single" w:sz="4" w:space="0" w:color="auto"/>
              <w:right w:val="single" w:sz="4" w:space="0" w:color="auto"/>
            </w:tcBorders>
          </w:tcPr>
          <w:p w14:paraId="0D892997" w14:textId="77777777" w:rsidR="00AC4A62" w:rsidRPr="00631C1B" w:rsidRDefault="00AC4A62" w:rsidP="009A3F2B">
            <w:pPr>
              <w:rPr>
                <w:sz w:val="18"/>
                <w:szCs w:val="18"/>
              </w:rPr>
            </w:pPr>
            <w:r w:rsidRPr="00631C1B">
              <w:rPr>
                <w:sz w:val="18"/>
                <w:szCs w:val="18"/>
              </w:rPr>
              <w:t>Young people gain accreditation for learning and skills development</w:t>
            </w:r>
          </w:p>
        </w:tc>
        <w:tc>
          <w:tcPr>
            <w:tcW w:w="556" w:type="pct"/>
            <w:tcBorders>
              <w:top w:val="single" w:sz="12" w:space="0" w:color="3C5896" w:themeColor="accent1"/>
              <w:left w:val="single" w:sz="4" w:space="0" w:color="auto"/>
              <w:bottom w:val="single" w:sz="4" w:space="0" w:color="auto"/>
              <w:right w:val="single" w:sz="4" w:space="0" w:color="auto"/>
            </w:tcBorders>
          </w:tcPr>
          <w:p w14:paraId="620D3CA0" w14:textId="5AE40D5B" w:rsidR="00AC4A62" w:rsidRPr="00631C1B" w:rsidRDefault="007C372E" w:rsidP="009A3F2B">
            <w:pPr>
              <w:jc w:val="center"/>
              <w:rPr>
                <w:sz w:val="18"/>
                <w:szCs w:val="18"/>
              </w:rPr>
            </w:pPr>
            <w:r w:rsidRPr="00631C1B">
              <w:rPr>
                <w:sz w:val="18"/>
                <w:szCs w:val="18"/>
              </w:rPr>
              <w:t>515</w:t>
            </w:r>
          </w:p>
        </w:tc>
        <w:tc>
          <w:tcPr>
            <w:tcW w:w="542" w:type="pct"/>
            <w:tcBorders>
              <w:top w:val="single" w:sz="12" w:space="0" w:color="3C5896" w:themeColor="accent1"/>
              <w:left w:val="single" w:sz="4" w:space="0" w:color="auto"/>
              <w:bottom w:val="single" w:sz="4" w:space="0" w:color="auto"/>
              <w:right w:val="single" w:sz="4" w:space="0" w:color="auto"/>
            </w:tcBorders>
          </w:tcPr>
          <w:p w14:paraId="30DBBDDD" w14:textId="32CC95AB" w:rsidR="00AC4A62" w:rsidRPr="00631C1B" w:rsidRDefault="008A2D35" w:rsidP="009A3F2B">
            <w:pPr>
              <w:jc w:val="center"/>
              <w:rPr>
                <w:sz w:val="18"/>
                <w:szCs w:val="18"/>
              </w:rPr>
            </w:pPr>
            <w:r w:rsidRPr="00631C1B">
              <w:rPr>
                <w:sz w:val="18"/>
                <w:szCs w:val="18"/>
              </w:rPr>
              <w:t>796</w:t>
            </w:r>
          </w:p>
        </w:tc>
        <w:tc>
          <w:tcPr>
            <w:tcW w:w="499" w:type="pct"/>
            <w:tcBorders>
              <w:top w:val="single" w:sz="12" w:space="0" w:color="3C5896" w:themeColor="accent1"/>
              <w:left w:val="single" w:sz="4" w:space="0" w:color="auto"/>
              <w:bottom w:val="single" w:sz="4" w:space="0" w:color="auto"/>
              <w:right w:val="single" w:sz="4" w:space="0" w:color="auto"/>
            </w:tcBorders>
          </w:tcPr>
          <w:p w14:paraId="790F84CC" w14:textId="21F294C6" w:rsidR="00AC4A62" w:rsidRPr="00631C1B" w:rsidRDefault="00034917" w:rsidP="009A3F2B">
            <w:pPr>
              <w:jc w:val="center"/>
              <w:rPr>
                <w:sz w:val="18"/>
                <w:szCs w:val="18"/>
              </w:rPr>
            </w:pPr>
            <w:r w:rsidRPr="00631C1B">
              <w:rPr>
                <w:sz w:val="18"/>
                <w:szCs w:val="18"/>
              </w:rPr>
              <w:t>N/A</w:t>
            </w:r>
          </w:p>
        </w:tc>
        <w:tc>
          <w:tcPr>
            <w:tcW w:w="602" w:type="pct"/>
            <w:tcBorders>
              <w:top w:val="single" w:sz="12" w:space="0" w:color="3C5896" w:themeColor="accent1"/>
              <w:left w:val="single" w:sz="4" w:space="0" w:color="auto"/>
              <w:right w:val="single" w:sz="4" w:space="0" w:color="auto"/>
            </w:tcBorders>
          </w:tcPr>
          <w:p w14:paraId="63668B2E" w14:textId="49C9EE22" w:rsidR="00AC4A62" w:rsidRPr="00631C1B" w:rsidRDefault="000F2B3C" w:rsidP="009A3F2B">
            <w:pPr>
              <w:jc w:val="center"/>
              <w:rPr>
                <w:sz w:val="18"/>
                <w:szCs w:val="18"/>
              </w:rPr>
            </w:pPr>
            <w:r w:rsidRPr="00631C1B">
              <w:rPr>
                <w:sz w:val="18"/>
                <w:szCs w:val="18"/>
              </w:rPr>
              <w:t>709</w:t>
            </w:r>
          </w:p>
        </w:tc>
        <w:tc>
          <w:tcPr>
            <w:tcW w:w="499" w:type="pct"/>
            <w:tcBorders>
              <w:top w:val="single" w:sz="12" w:space="0" w:color="3C5896" w:themeColor="accent1"/>
              <w:left w:val="single" w:sz="4" w:space="0" w:color="auto"/>
              <w:right w:val="single" w:sz="4" w:space="0" w:color="auto"/>
            </w:tcBorders>
          </w:tcPr>
          <w:p w14:paraId="6FF65453" w14:textId="2788C095" w:rsidR="00AC4A62" w:rsidRPr="00631C1B" w:rsidRDefault="00B9708A" w:rsidP="009A3F2B">
            <w:pPr>
              <w:jc w:val="center"/>
              <w:rPr>
                <w:sz w:val="18"/>
                <w:szCs w:val="18"/>
              </w:rPr>
            </w:pPr>
            <w:r w:rsidRPr="00631C1B">
              <w:rPr>
                <w:sz w:val="18"/>
                <w:szCs w:val="18"/>
              </w:rPr>
              <w:t>515</w:t>
            </w:r>
          </w:p>
        </w:tc>
        <w:tc>
          <w:tcPr>
            <w:tcW w:w="507" w:type="pct"/>
            <w:tcBorders>
              <w:top w:val="single" w:sz="12" w:space="0" w:color="3C5896" w:themeColor="accent1"/>
              <w:left w:val="single" w:sz="4" w:space="0" w:color="auto"/>
              <w:right w:val="single" w:sz="4" w:space="0" w:color="auto"/>
            </w:tcBorders>
          </w:tcPr>
          <w:p w14:paraId="580DF494" w14:textId="46A28236" w:rsidR="00AC4A62" w:rsidRPr="00631C1B" w:rsidRDefault="00BC3CF7" w:rsidP="009A3F2B">
            <w:pPr>
              <w:jc w:val="center"/>
              <w:rPr>
                <w:sz w:val="18"/>
                <w:szCs w:val="18"/>
              </w:rPr>
            </w:pPr>
            <w:r w:rsidRPr="00631C1B">
              <w:rPr>
                <w:sz w:val="18"/>
                <w:szCs w:val="18"/>
              </w:rPr>
              <w:t>1,505</w:t>
            </w:r>
          </w:p>
        </w:tc>
        <w:tc>
          <w:tcPr>
            <w:tcW w:w="90" w:type="pct"/>
            <w:tcBorders>
              <w:top w:val="single" w:sz="12" w:space="0" w:color="3C5896" w:themeColor="accent1"/>
              <w:left w:val="single" w:sz="4" w:space="0" w:color="auto"/>
            </w:tcBorders>
          </w:tcPr>
          <w:p w14:paraId="2A6CB87E" w14:textId="77777777" w:rsidR="00AC4A62" w:rsidRPr="00631C1B" w:rsidRDefault="00AC4A62" w:rsidP="009A3F2B">
            <w:pPr>
              <w:jc w:val="center"/>
              <w:rPr>
                <w:sz w:val="18"/>
                <w:szCs w:val="18"/>
              </w:rPr>
            </w:pPr>
          </w:p>
        </w:tc>
        <w:tc>
          <w:tcPr>
            <w:tcW w:w="778" w:type="pct"/>
            <w:tcBorders>
              <w:top w:val="single" w:sz="12" w:space="0" w:color="3C5896" w:themeColor="accent1"/>
            </w:tcBorders>
          </w:tcPr>
          <w:p w14:paraId="27EE94BD" w14:textId="115613C4" w:rsidR="00AC4A62" w:rsidRPr="00631C1B" w:rsidRDefault="004B07E4" w:rsidP="009A3F2B">
            <w:pPr>
              <w:jc w:val="center"/>
              <w:rPr>
                <w:sz w:val="18"/>
                <w:szCs w:val="18"/>
              </w:rPr>
            </w:pPr>
            <w:r w:rsidRPr="00631C1B">
              <w:rPr>
                <w:sz w:val="18"/>
                <w:szCs w:val="18"/>
              </w:rPr>
              <w:t>+990</w:t>
            </w:r>
          </w:p>
        </w:tc>
      </w:tr>
      <w:tr w:rsidR="00AC4A62" w:rsidRPr="00631C1B" w14:paraId="04870819" w14:textId="77777777" w:rsidTr="009A3F2B">
        <w:tc>
          <w:tcPr>
            <w:tcW w:w="927" w:type="pct"/>
            <w:tcBorders>
              <w:top w:val="single" w:sz="4" w:space="0" w:color="auto"/>
              <w:right w:val="single" w:sz="4" w:space="0" w:color="auto"/>
            </w:tcBorders>
          </w:tcPr>
          <w:p w14:paraId="7C649080" w14:textId="77777777" w:rsidR="00AC4A62" w:rsidRPr="00631C1B" w:rsidRDefault="00AC4A62" w:rsidP="009A3F2B">
            <w:pPr>
              <w:rPr>
                <w:sz w:val="18"/>
                <w:szCs w:val="18"/>
              </w:rPr>
            </w:pPr>
            <w:r w:rsidRPr="00631C1B">
              <w:rPr>
                <w:sz w:val="18"/>
                <w:szCs w:val="18"/>
              </w:rPr>
              <w:t xml:space="preserve">Young people report their skills are increasing </w:t>
            </w:r>
          </w:p>
        </w:tc>
        <w:tc>
          <w:tcPr>
            <w:tcW w:w="556" w:type="pct"/>
            <w:tcBorders>
              <w:top w:val="single" w:sz="4" w:space="0" w:color="auto"/>
              <w:left w:val="single" w:sz="4" w:space="0" w:color="auto"/>
              <w:right w:val="single" w:sz="4" w:space="0" w:color="auto"/>
            </w:tcBorders>
          </w:tcPr>
          <w:p w14:paraId="390878B5" w14:textId="5618AE49" w:rsidR="00AC4A62" w:rsidRPr="00631C1B" w:rsidRDefault="007C372E" w:rsidP="009A3F2B">
            <w:pPr>
              <w:jc w:val="center"/>
              <w:rPr>
                <w:sz w:val="18"/>
                <w:szCs w:val="18"/>
              </w:rPr>
            </w:pPr>
            <w:r w:rsidRPr="00631C1B">
              <w:rPr>
                <w:sz w:val="18"/>
                <w:szCs w:val="18"/>
              </w:rPr>
              <w:t>1,960</w:t>
            </w:r>
          </w:p>
        </w:tc>
        <w:tc>
          <w:tcPr>
            <w:tcW w:w="542" w:type="pct"/>
            <w:tcBorders>
              <w:top w:val="single" w:sz="4" w:space="0" w:color="auto"/>
              <w:left w:val="single" w:sz="4" w:space="0" w:color="auto"/>
              <w:right w:val="single" w:sz="4" w:space="0" w:color="auto"/>
            </w:tcBorders>
          </w:tcPr>
          <w:p w14:paraId="150B9B7D" w14:textId="62119665" w:rsidR="00AC4A62" w:rsidRPr="00631C1B" w:rsidRDefault="008A2D35" w:rsidP="009A3F2B">
            <w:pPr>
              <w:jc w:val="center"/>
              <w:rPr>
                <w:sz w:val="18"/>
                <w:szCs w:val="18"/>
              </w:rPr>
            </w:pPr>
            <w:r w:rsidRPr="00631C1B">
              <w:rPr>
                <w:sz w:val="18"/>
                <w:szCs w:val="18"/>
              </w:rPr>
              <w:t>1,905</w:t>
            </w:r>
          </w:p>
        </w:tc>
        <w:tc>
          <w:tcPr>
            <w:tcW w:w="499" w:type="pct"/>
            <w:tcBorders>
              <w:top w:val="single" w:sz="4" w:space="0" w:color="auto"/>
              <w:left w:val="single" w:sz="4" w:space="0" w:color="auto"/>
              <w:right w:val="single" w:sz="4" w:space="0" w:color="auto"/>
            </w:tcBorders>
          </w:tcPr>
          <w:p w14:paraId="7958B4D1" w14:textId="0B31EE1C" w:rsidR="00AC4A62" w:rsidRPr="00631C1B" w:rsidRDefault="00AE45B1" w:rsidP="009A3F2B">
            <w:pPr>
              <w:jc w:val="center"/>
              <w:rPr>
                <w:sz w:val="18"/>
                <w:szCs w:val="18"/>
              </w:rPr>
            </w:pPr>
            <w:r w:rsidRPr="00631C1B">
              <w:rPr>
                <w:sz w:val="18"/>
                <w:szCs w:val="18"/>
              </w:rPr>
              <w:t>2,500</w:t>
            </w:r>
          </w:p>
        </w:tc>
        <w:tc>
          <w:tcPr>
            <w:tcW w:w="602" w:type="pct"/>
            <w:tcBorders>
              <w:left w:val="single" w:sz="4" w:space="0" w:color="auto"/>
              <w:right w:val="single" w:sz="4" w:space="0" w:color="auto"/>
            </w:tcBorders>
          </w:tcPr>
          <w:p w14:paraId="5B1DAEC9" w14:textId="30A51E6C" w:rsidR="00AC4A62" w:rsidRPr="00631C1B" w:rsidRDefault="000F2B3C" w:rsidP="009A3F2B">
            <w:pPr>
              <w:jc w:val="center"/>
              <w:rPr>
                <w:sz w:val="18"/>
                <w:szCs w:val="18"/>
              </w:rPr>
            </w:pPr>
            <w:r w:rsidRPr="00631C1B">
              <w:rPr>
                <w:sz w:val="18"/>
                <w:szCs w:val="18"/>
              </w:rPr>
              <w:t>1,755</w:t>
            </w:r>
          </w:p>
        </w:tc>
        <w:tc>
          <w:tcPr>
            <w:tcW w:w="499" w:type="pct"/>
            <w:tcBorders>
              <w:left w:val="single" w:sz="4" w:space="0" w:color="auto"/>
              <w:right w:val="single" w:sz="4" w:space="0" w:color="auto"/>
            </w:tcBorders>
          </w:tcPr>
          <w:p w14:paraId="1CC72E69" w14:textId="500BE946" w:rsidR="00AC4A62" w:rsidRPr="00631C1B" w:rsidRDefault="00A94AC1" w:rsidP="009A3F2B">
            <w:pPr>
              <w:jc w:val="center"/>
              <w:rPr>
                <w:sz w:val="18"/>
                <w:szCs w:val="18"/>
              </w:rPr>
            </w:pPr>
            <w:r w:rsidRPr="00631C1B">
              <w:rPr>
                <w:sz w:val="18"/>
                <w:szCs w:val="18"/>
              </w:rPr>
              <w:t>4</w:t>
            </w:r>
            <w:r w:rsidR="00571E40" w:rsidRPr="00631C1B">
              <w:rPr>
                <w:sz w:val="18"/>
                <w:szCs w:val="18"/>
              </w:rPr>
              <w:t>,460</w:t>
            </w:r>
          </w:p>
        </w:tc>
        <w:tc>
          <w:tcPr>
            <w:tcW w:w="507" w:type="pct"/>
            <w:tcBorders>
              <w:left w:val="single" w:sz="4" w:space="0" w:color="auto"/>
              <w:right w:val="single" w:sz="4" w:space="0" w:color="auto"/>
            </w:tcBorders>
          </w:tcPr>
          <w:p w14:paraId="204C405F" w14:textId="0B7CE4F0" w:rsidR="00AC4A62" w:rsidRPr="00631C1B" w:rsidRDefault="00BC3CF7" w:rsidP="009A3F2B">
            <w:pPr>
              <w:jc w:val="center"/>
              <w:rPr>
                <w:sz w:val="18"/>
                <w:szCs w:val="18"/>
              </w:rPr>
            </w:pPr>
            <w:r w:rsidRPr="00631C1B">
              <w:rPr>
                <w:sz w:val="18"/>
                <w:szCs w:val="18"/>
              </w:rPr>
              <w:t>3,660</w:t>
            </w:r>
          </w:p>
        </w:tc>
        <w:tc>
          <w:tcPr>
            <w:tcW w:w="90" w:type="pct"/>
            <w:tcBorders>
              <w:left w:val="single" w:sz="4" w:space="0" w:color="auto"/>
            </w:tcBorders>
          </w:tcPr>
          <w:p w14:paraId="284E4844" w14:textId="77777777" w:rsidR="00AC4A62" w:rsidRPr="00631C1B" w:rsidRDefault="00AC4A62" w:rsidP="009A3F2B">
            <w:pPr>
              <w:jc w:val="center"/>
              <w:rPr>
                <w:sz w:val="18"/>
                <w:szCs w:val="18"/>
              </w:rPr>
            </w:pPr>
          </w:p>
        </w:tc>
        <w:tc>
          <w:tcPr>
            <w:tcW w:w="778" w:type="pct"/>
          </w:tcPr>
          <w:p w14:paraId="5E3724AE" w14:textId="3DECB3F0" w:rsidR="00AC4A62" w:rsidRPr="00631C1B" w:rsidRDefault="00B726C4" w:rsidP="009A3F2B">
            <w:pPr>
              <w:jc w:val="center"/>
              <w:rPr>
                <w:sz w:val="18"/>
                <w:szCs w:val="18"/>
              </w:rPr>
            </w:pPr>
            <w:r w:rsidRPr="00631C1B">
              <w:rPr>
                <w:sz w:val="18"/>
                <w:szCs w:val="18"/>
              </w:rPr>
              <w:t>-800</w:t>
            </w:r>
          </w:p>
        </w:tc>
      </w:tr>
      <w:tr w:rsidR="00AC4A62" w:rsidRPr="00631C1B" w14:paraId="2D94BEBF" w14:textId="77777777" w:rsidTr="009A3F2B">
        <w:tc>
          <w:tcPr>
            <w:tcW w:w="927" w:type="pct"/>
            <w:tcBorders>
              <w:bottom w:val="nil"/>
              <w:right w:val="single" w:sz="4" w:space="0" w:color="auto"/>
            </w:tcBorders>
          </w:tcPr>
          <w:p w14:paraId="4B4E553D" w14:textId="77777777" w:rsidR="00AC4A62" w:rsidRPr="00631C1B" w:rsidRDefault="00AC4A62" w:rsidP="009A3F2B">
            <w:pPr>
              <w:rPr>
                <w:sz w:val="18"/>
                <w:szCs w:val="18"/>
              </w:rPr>
            </w:pPr>
            <w:r w:rsidRPr="00631C1B">
              <w:rPr>
                <w:sz w:val="18"/>
                <w:szCs w:val="18"/>
              </w:rPr>
              <w:t>Stakeholders report on increased skills in young people</w:t>
            </w:r>
          </w:p>
        </w:tc>
        <w:tc>
          <w:tcPr>
            <w:tcW w:w="556" w:type="pct"/>
            <w:tcBorders>
              <w:left w:val="single" w:sz="4" w:space="0" w:color="auto"/>
              <w:bottom w:val="nil"/>
              <w:right w:val="single" w:sz="4" w:space="0" w:color="auto"/>
            </w:tcBorders>
          </w:tcPr>
          <w:p w14:paraId="1728DACE" w14:textId="548F6C78" w:rsidR="00AC4A62" w:rsidRPr="00631C1B" w:rsidRDefault="007C372E" w:rsidP="009A3F2B">
            <w:pPr>
              <w:jc w:val="center"/>
              <w:rPr>
                <w:sz w:val="18"/>
                <w:szCs w:val="18"/>
              </w:rPr>
            </w:pPr>
            <w:r w:rsidRPr="00631C1B">
              <w:rPr>
                <w:sz w:val="18"/>
                <w:szCs w:val="18"/>
              </w:rPr>
              <w:t>75%</w:t>
            </w:r>
          </w:p>
        </w:tc>
        <w:tc>
          <w:tcPr>
            <w:tcW w:w="542" w:type="pct"/>
            <w:tcBorders>
              <w:left w:val="single" w:sz="4" w:space="0" w:color="auto"/>
              <w:bottom w:val="nil"/>
              <w:right w:val="single" w:sz="4" w:space="0" w:color="auto"/>
            </w:tcBorders>
          </w:tcPr>
          <w:p w14:paraId="155EDBEB" w14:textId="5C332532" w:rsidR="00AC4A62" w:rsidRPr="00631C1B" w:rsidRDefault="00AC1AEF" w:rsidP="009A3F2B">
            <w:pPr>
              <w:jc w:val="center"/>
              <w:rPr>
                <w:sz w:val="18"/>
                <w:szCs w:val="18"/>
              </w:rPr>
            </w:pPr>
            <w:r w:rsidRPr="00631C1B">
              <w:rPr>
                <w:sz w:val="18"/>
                <w:szCs w:val="18"/>
              </w:rPr>
              <w:t>100%</w:t>
            </w:r>
          </w:p>
        </w:tc>
        <w:tc>
          <w:tcPr>
            <w:tcW w:w="499" w:type="pct"/>
            <w:tcBorders>
              <w:left w:val="single" w:sz="4" w:space="0" w:color="auto"/>
              <w:bottom w:val="nil"/>
              <w:right w:val="single" w:sz="4" w:space="0" w:color="auto"/>
            </w:tcBorders>
          </w:tcPr>
          <w:p w14:paraId="732779FE" w14:textId="20A8FBE9" w:rsidR="00AC4A62" w:rsidRPr="00631C1B" w:rsidRDefault="00B9708A" w:rsidP="009A3F2B">
            <w:pPr>
              <w:jc w:val="center"/>
              <w:rPr>
                <w:sz w:val="18"/>
                <w:szCs w:val="18"/>
              </w:rPr>
            </w:pPr>
            <w:r w:rsidRPr="00631C1B">
              <w:rPr>
                <w:sz w:val="18"/>
                <w:szCs w:val="18"/>
              </w:rPr>
              <w:t>75%</w:t>
            </w:r>
          </w:p>
        </w:tc>
        <w:tc>
          <w:tcPr>
            <w:tcW w:w="602" w:type="pct"/>
            <w:tcBorders>
              <w:left w:val="single" w:sz="4" w:space="0" w:color="auto"/>
              <w:bottom w:val="nil"/>
              <w:right w:val="single" w:sz="4" w:space="0" w:color="auto"/>
            </w:tcBorders>
          </w:tcPr>
          <w:p w14:paraId="4C800B3F" w14:textId="02653953" w:rsidR="00AC4A62" w:rsidRPr="00631C1B" w:rsidRDefault="00C24ABE" w:rsidP="009A3F2B">
            <w:pPr>
              <w:jc w:val="center"/>
              <w:rPr>
                <w:sz w:val="18"/>
                <w:szCs w:val="18"/>
              </w:rPr>
            </w:pPr>
            <w:r w:rsidRPr="00631C1B">
              <w:rPr>
                <w:sz w:val="18"/>
                <w:szCs w:val="18"/>
              </w:rPr>
              <w:t>N/A</w:t>
            </w:r>
          </w:p>
        </w:tc>
        <w:tc>
          <w:tcPr>
            <w:tcW w:w="499" w:type="pct"/>
            <w:tcBorders>
              <w:left w:val="single" w:sz="4" w:space="0" w:color="auto"/>
              <w:bottom w:val="nil"/>
              <w:right w:val="single" w:sz="4" w:space="0" w:color="auto"/>
            </w:tcBorders>
          </w:tcPr>
          <w:p w14:paraId="673C4108" w14:textId="213CA3FB" w:rsidR="00AC4A62" w:rsidRPr="00631C1B" w:rsidRDefault="00B9708A" w:rsidP="009A3F2B">
            <w:pPr>
              <w:jc w:val="center"/>
              <w:rPr>
                <w:sz w:val="18"/>
                <w:szCs w:val="18"/>
              </w:rPr>
            </w:pPr>
            <w:r w:rsidRPr="00631C1B">
              <w:rPr>
                <w:sz w:val="18"/>
                <w:szCs w:val="18"/>
              </w:rPr>
              <w:t>75%</w:t>
            </w:r>
          </w:p>
        </w:tc>
        <w:tc>
          <w:tcPr>
            <w:tcW w:w="507" w:type="pct"/>
            <w:tcBorders>
              <w:left w:val="single" w:sz="4" w:space="0" w:color="auto"/>
              <w:bottom w:val="nil"/>
              <w:right w:val="single" w:sz="4" w:space="0" w:color="auto"/>
            </w:tcBorders>
          </w:tcPr>
          <w:p w14:paraId="0D97C53F" w14:textId="6EA7F88A" w:rsidR="00AC4A62" w:rsidRPr="00631C1B" w:rsidRDefault="00AC1AEF" w:rsidP="00AC1AEF">
            <w:pPr>
              <w:jc w:val="center"/>
              <w:rPr>
                <w:sz w:val="18"/>
                <w:szCs w:val="18"/>
              </w:rPr>
            </w:pPr>
            <w:r w:rsidRPr="00631C1B">
              <w:rPr>
                <w:sz w:val="18"/>
                <w:szCs w:val="18"/>
              </w:rPr>
              <w:t>100%</w:t>
            </w:r>
          </w:p>
        </w:tc>
        <w:tc>
          <w:tcPr>
            <w:tcW w:w="90" w:type="pct"/>
            <w:tcBorders>
              <w:left w:val="single" w:sz="4" w:space="0" w:color="auto"/>
            </w:tcBorders>
          </w:tcPr>
          <w:p w14:paraId="1276C699" w14:textId="77777777" w:rsidR="00AC4A62" w:rsidRPr="00631C1B" w:rsidRDefault="00AC4A62" w:rsidP="009A3F2B">
            <w:pPr>
              <w:jc w:val="center"/>
              <w:rPr>
                <w:sz w:val="18"/>
                <w:szCs w:val="18"/>
              </w:rPr>
            </w:pPr>
          </w:p>
        </w:tc>
        <w:tc>
          <w:tcPr>
            <w:tcW w:w="778" w:type="pct"/>
          </w:tcPr>
          <w:p w14:paraId="71ADA4B6" w14:textId="0FD388F0" w:rsidR="00AC4A62" w:rsidRPr="00631C1B" w:rsidRDefault="00AC1AEF" w:rsidP="009A3F2B">
            <w:pPr>
              <w:jc w:val="center"/>
              <w:rPr>
                <w:sz w:val="18"/>
                <w:szCs w:val="18"/>
              </w:rPr>
            </w:pPr>
            <w:r w:rsidRPr="00631C1B">
              <w:rPr>
                <w:sz w:val="18"/>
                <w:szCs w:val="18"/>
              </w:rPr>
              <w:t>+25%</w:t>
            </w:r>
          </w:p>
        </w:tc>
      </w:tr>
    </w:tbl>
    <w:p w14:paraId="3E667D21" w14:textId="56BDB948" w:rsidR="00AC4A62" w:rsidRPr="00631C1B" w:rsidRDefault="00AC4A62" w:rsidP="00AC4A62">
      <w:pPr>
        <w:pStyle w:val="Source"/>
      </w:pPr>
      <w:r w:rsidRPr="00631C1B">
        <w:t>Source: Creative Scotland / BOP Consulting (20</w:t>
      </w:r>
      <w:r w:rsidR="00540D8F" w:rsidRPr="00631C1B">
        <w:t>20</w:t>
      </w:r>
      <w:r w:rsidRPr="00631C1B">
        <w:t>)</w:t>
      </w:r>
    </w:p>
    <w:p w14:paraId="53028A20" w14:textId="559E0FDE" w:rsidR="00AC4A62" w:rsidRPr="00631C1B" w:rsidRDefault="00AC4A62" w:rsidP="00AC4A62">
      <w:pPr>
        <w:pStyle w:val="Caption"/>
      </w:pPr>
    </w:p>
    <w:p w14:paraId="2BD38A12" w14:textId="6D64A6E2" w:rsidR="000F2B3C" w:rsidRPr="00631C1B" w:rsidRDefault="000F2B3C" w:rsidP="000F2B3C"/>
    <w:p w14:paraId="49631DD8" w14:textId="4C0865EC" w:rsidR="000F2B3C" w:rsidRPr="00631C1B" w:rsidRDefault="000F2B3C" w:rsidP="000F2B3C"/>
    <w:p w14:paraId="793ADE4E" w14:textId="0B5B9291" w:rsidR="000F2B3C" w:rsidRPr="00631C1B" w:rsidRDefault="000F2B3C" w:rsidP="000F2B3C"/>
    <w:p w14:paraId="53127C0C" w14:textId="6B0D56E7" w:rsidR="000F2B3C" w:rsidRPr="00631C1B" w:rsidRDefault="000F2B3C" w:rsidP="000F2B3C"/>
    <w:p w14:paraId="79CBD6B9" w14:textId="33DC2E88" w:rsidR="000F2B3C" w:rsidRPr="00631C1B" w:rsidRDefault="000F2B3C" w:rsidP="000F2B3C"/>
    <w:p w14:paraId="7CDB295C" w14:textId="74CD6F0A" w:rsidR="00AC4A62" w:rsidRPr="00631C1B" w:rsidRDefault="00AC4A62" w:rsidP="00AC4A62">
      <w:pPr>
        <w:pStyle w:val="Caption"/>
      </w:pPr>
      <w:bookmarkStart w:id="31" w:name="_Toc42266745"/>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10</w:t>
      </w:r>
      <w:r w:rsidRPr="00631C1B">
        <w:rPr>
          <w:noProof/>
        </w:rPr>
        <w:fldChar w:fldCharType="end"/>
      </w:r>
      <w:r w:rsidRPr="00631C1B">
        <w:t xml:space="preserve">  Progress towards targets in developing physical and personal skills – based on grant offer letter – All years</w:t>
      </w:r>
      <w:bookmarkEnd w:id="31"/>
    </w:p>
    <w:tbl>
      <w:tblPr>
        <w:tblStyle w:val="BOPtable"/>
        <w:tblW w:w="5000" w:type="pct"/>
        <w:tblLook w:val="04A0" w:firstRow="1" w:lastRow="0" w:firstColumn="1" w:lastColumn="0" w:noHBand="0" w:noVBand="1"/>
      </w:tblPr>
      <w:tblGrid>
        <w:gridCol w:w="1316"/>
        <w:gridCol w:w="789"/>
        <w:gridCol w:w="770"/>
        <w:gridCol w:w="709"/>
        <w:gridCol w:w="855"/>
        <w:gridCol w:w="709"/>
        <w:gridCol w:w="720"/>
        <w:gridCol w:w="128"/>
        <w:gridCol w:w="1105"/>
      </w:tblGrid>
      <w:tr w:rsidR="00555F08" w:rsidRPr="00631C1B" w14:paraId="0DE1AFD7" w14:textId="77777777" w:rsidTr="009A3F2B">
        <w:trPr>
          <w:cnfStyle w:val="100000000000" w:firstRow="1" w:lastRow="0" w:firstColumn="0" w:lastColumn="0" w:oddVBand="0" w:evenVBand="0" w:oddHBand="0" w:evenHBand="0" w:firstRowFirstColumn="0" w:firstRowLastColumn="0" w:lastRowFirstColumn="0" w:lastRowLastColumn="0"/>
        </w:trPr>
        <w:tc>
          <w:tcPr>
            <w:tcW w:w="927" w:type="pct"/>
            <w:tcBorders>
              <w:right w:val="single" w:sz="4" w:space="0" w:color="auto"/>
            </w:tcBorders>
          </w:tcPr>
          <w:p w14:paraId="7ECEAE79" w14:textId="77777777" w:rsidR="00AC4A62" w:rsidRPr="00631C1B" w:rsidRDefault="00AC4A62" w:rsidP="009A3F2B"/>
        </w:tc>
        <w:tc>
          <w:tcPr>
            <w:tcW w:w="1098" w:type="pct"/>
            <w:gridSpan w:val="2"/>
            <w:tcBorders>
              <w:left w:val="single" w:sz="4" w:space="0" w:color="auto"/>
              <w:right w:val="single" w:sz="4" w:space="0" w:color="auto"/>
            </w:tcBorders>
          </w:tcPr>
          <w:p w14:paraId="5A084221" w14:textId="77777777" w:rsidR="00AC4A62" w:rsidRPr="00631C1B" w:rsidRDefault="00AC4A62" w:rsidP="009A3F2B">
            <w:pPr>
              <w:jc w:val="center"/>
            </w:pPr>
            <w:r w:rsidRPr="00631C1B">
              <w:t>Targeted Fund</w:t>
            </w:r>
          </w:p>
        </w:tc>
        <w:tc>
          <w:tcPr>
            <w:tcW w:w="1101" w:type="pct"/>
            <w:gridSpan w:val="2"/>
            <w:tcBorders>
              <w:left w:val="single" w:sz="4" w:space="0" w:color="auto"/>
              <w:right w:val="single" w:sz="4" w:space="0" w:color="auto"/>
            </w:tcBorders>
          </w:tcPr>
          <w:p w14:paraId="09DDD4AB" w14:textId="77777777" w:rsidR="00AC4A62" w:rsidRPr="00631C1B" w:rsidRDefault="00AC4A62" w:rsidP="009A3F2B">
            <w:pPr>
              <w:jc w:val="center"/>
            </w:pPr>
            <w:r w:rsidRPr="00631C1B">
              <w:t>Open Fund</w:t>
            </w:r>
          </w:p>
        </w:tc>
        <w:tc>
          <w:tcPr>
            <w:tcW w:w="1005" w:type="pct"/>
            <w:gridSpan w:val="2"/>
            <w:tcBorders>
              <w:left w:val="single" w:sz="4" w:space="0" w:color="auto"/>
              <w:right w:val="single" w:sz="4" w:space="0" w:color="auto"/>
            </w:tcBorders>
          </w:tcPr>
          <w:p w14:paraId="1E344E15" w14:textId="77777777" w:rsidR="00AC4A62" w:rsidRPr="00631C1B" w:rsidRDefault="00AC4A62" w:rsidP="009A3F2B">
            <w:pPr>
              <w:jc w:val="center"/>
              <w:rPr>
                <w:b w:val="0"/>
              </w:rPr>
            </w:pPr>
            <w:r w:rsidRPr="00631C1B">
              <w:t>Programme</w:t>
            </w:r>
          </w:p>
          <w:p w14:paraId="57A44AAD" w14:textId="77777777" w:rsidR="00AC4A62" w:rsidRPr="00631C1B" w:rsidRDefault="00AC4A62" w:rsidP="009A3F2B">
            <w:pPr>
              <w:jc w:val="center"/>
            </w:pPr>
            <w:r w:rsidRPr="00631C1B">
              <w:t>Total</w:t>
            </w:r>
          </w:p>
        </w:tc>
        <w:tc>
          <w:tcPr>
            <w:tcW w:w="868" w:type="pct"/>
            <w:gridSpan w:val="2"/>
            <w:tcBorders>
              <w:left w:val="single" w:sz="4" w:space="0" w:color="auto"/>
            </w:tcBorders>
          </w:tcPr>
          <w:p w14:paraId="54D1C0E3" w14:textId="77777777" w:rsidR="00AC4A62" w:rsidRPr="00631C1B" w:rsidRDefault="00AC4A62" w:rsidP="009A3F2B">
            <w:pPr>
              <w:jc w:val="center"/>
            </w:pPr>
          </w:p>
        </w:tc>
      </w:tr>
      <w:tr w:rsidR="006A533B" w:rsidRPr="00631C1B" w14:paraId="4FFCEE78" w14:textId="77777777" w:rsidTr="009A3F2B">
        <w:tc>
          <w:tcPr>
            <w:tcW w:w="927" w:type="pct"/>
            <w:tcBorders>
              <w:top w:val="single" w:sz="12" w:space="0" w:color="3C5896" w:themeColor="accent1"/>
              <w:bottom w:val="single" w:sz="12" w:space="0" w:color="3C5896" w:themeColor="accent1"/>
              <w:right w:val="single" w:sz="4" w:space="0" w:color="auto"/>
            </w:tcBorders>
          </w:tcPr>
          <w:p w14:paraId="262389BF" w14:textId="77777777" w:rsidR="00AC4A62" w:rsidRPr="00631C1B" w:rsidRDefault="00AC4A62" w:rsidP="009A3F2B">
            <w:pPr>
              <w:jc w:val="center"/>
              <w:rPr>
                <w:b/>
                <w:color w:val="3C5896"/>
              </w:rPr>
            </w:pPr>
          </w:p>
        </w:tc>
        <w:tc>
          <w:tcPr>
            <w:tcW w:w="556" w:type="pct"/>
            <w:tcBorders>
              <w:top w:val="single" w:sz="12" w:space="0" w:color="3C5896" w:themeColor="accent1"/>
              <w:left w:val="single" w:sz="4" w:space="0" w:color="auto"/>
              <w:bottom w:val="single" w:sz="12" w:space="0" w:color="3C5896" w:themeColor="accent1"/>
              <w:right w:val="single" w:sz="4" w:space="0" w:color="auto"/>
            </w:tcBorders>
          </w:tcPr>
          <w:p w14:paraId="3C683888" w14:textId="77777777" w:rsidR="00AC4A62" w:rsidRPr="00631C1B" w:rsidRDefault="00AC4A62" w:rsidP="009A3F2B">
            <w:pPr>
              <w:jc w:val="center"/>
              <w:rPr>
                <w:b/>
                <w:color w:val="3C5896"/>
                <w:sz w:val="18"/>
                <w:szCs w:val="18"/>
              </w:rPr>
            </w:pPr>
            <w:r w:rsidRPr="00631C1B">
              <w:rPr>
                <w:b/>
                <w:color w:val="3C5896"/>
                <w:sz w:val="18"/>
                <w:szCs w:val="18"/>
              </w:rPr>
              <w:t>Grant offer letter target</w:t>
            </w:r>
          </w:p>
        </w:tc>
        <w:tc>
          <w:tcPr>
            <w:tcW w:w="542" w:type="pct"/>
            <w:tcBorders>
              <w:top w:val="single" w:sz="12" w:space="0" w:color="3C5896" w:themeColor="accent1"/>
              <w:left w:val="single" w:sz="4" w:space="0" w:color="auto"/>
              <w:bottom w:val="single" w:sz="12" w:space="0" w:color="3C5896" w:themeColor="accent1"/>
              <w:right w:val="single" w:sz="4" w:space="0" w:color="auto"/>
            </w:tcBorders>
          </w:tcPr>
          <w:p w14:paraId="054D9293" w14:textId="77777777" w:rsidR="00AC4A62" w:rsidRPr="00631C1B" w:rsidRDefault="00AC4A62" w:rsidP="009A3F2B">
            <w:pPr>
              <w:jc w:val="center"/>
              <w:rPr>
                <w:b/>
                <w:color w:val="3C5896"/>
                <w:sz w:val="18"/>
                <w:szCs w:val="18"/>
              </w:rPr>
            </w:pPr>
            <w:r w:rsidRPr="00631C1B">
              <w:rPr>
                <w:b/>
                <w:color w:val="3C5896"/>
                <w:sz w:val="18"/>
                <w:szCs w:val="18"/>
              </w:rPr>
              <w:t>Actual</w:t>
            </w:r>
          </w:p>
        </w:tc>
        <w:tc>
          <w:tcPr>
            <w:tcW w:w="499" w:type="pct"/>
            <w:tcBorders>
              <w:top w:val="single" w:sz="12" w:space="0" w:color="3C5896" w:themeColor="accent1"/>
              <w:left w:val="single" w:sz="4" w:space="0" w:color="auto"/>
              <w:bottom w:val="single" w:sz="12" w:space="0" w:color="3C5896" w:themeColor="accent1"/>
              <w:right w:val="single" w:sz="4" w:space="0" w:color="auto"/>
            </w:tcBorders>
          </w:tcPr>
          <w:p w14:paraId="0BFCCABA" w14:textId="77777777" w:rsidR="00AC4A62" w:rsidRPr="00631C1B" w:rsidRDefault="00AC4A62" w:rsidP="009A3F2B">
            <w:pPr>
              <w:jc w:val="center"/>
              <w:rPr>
                <w:b/>
                <w:color w:val="3C5896"/>
                <w:sz w:val="18"/>
                <w:szCs w:val="18"/>
              </w:rPr>
            </w:pPr>
            <w:r w:rsidRPr="00631C1B">
              <w:rPr>
                <w:b/>
                <w:color w:val="3C5896"/>
                <w:sz w:val="18"/>
                <w:szCs w:val="18"/>
              </w:rPr>
              <w:t>Grant offer letter target</w:t>
            </w:r>
          </w:p>
        </w:tc>
        <w:tc>
          <w:tcPr>
            <w:tcW w:w="602" w:type="pct"/>
            <w:tcBorders>
              <w:top w:val="single" w:sz="12" w:space="0" w:color="3C5896" w:themeColor="accent1"/>
              <w:left w:val="single" w:sz="4" w:space="0" w:color="auto"/>
              <w:bottom w:val="single" w:sz="12" w:space="0" w:color="3C5896" w:themeColor="accent1"/>
              <w:right w:val="single" w:sz="4" w:space="0" w:color="auto"/>
            </w:tcBorders>
          </w:tcPr>
          <w:p w14:paraId="7BF9F352" w14:textId="77777777" w:rsidR="00AC4A62" w:rsidRPr="00631C1B" w:rsidRDefault="00AC4A62" w:rsidP="009A3F2B">
            <w:pPr>
              <w:jc w:val="center"/>
              <w:rPr>
                <w:b/>
                <w:color w:val="3C5896"/>
                <w:sz w:val="18"/>
                <w:szCs w:val="18"/>
              </w:rPr>
            </w:pPr>
            <w:r w:rsidRPr="00631C1B">
              <w:rPr>
                <w:b/>
                <w:color w:val="3C5896"/>
                <w:sz w:val="18"/>
                <w:szCs w:val="18"/>
              </w:rPr>
              <w:t>Actual</w:t>
            </w:r>
          </w:p>
        </w:tc>
        <w:tc>
          <w:tcPr>
            <w:tcW w:w="499" w:type="pct"/>
            <w:tcBorders>
              <w:top w:val="single" w:sz="12" w:space="0" w:color="3C5896" w:themeColor="accent1"/>
              <w:left w:val="single" w:sz="4" w:space="0" w:color="auto"/>
              <w:bottom w:val="single" w:sz="12" w:space="0" w:color="3C5896" w:themeColor="accent1"/>
              <w:right w:val="single" w:sz="4" w:space="0" w:color="auto"/>
            </w:tcBorders>
          </w:tcPr>
          <w:p w14:paraId="3EF88202" w14:textId="77777777" w:rsidR="00AC4A62" w:rsidRPr="00631C1B" w:rsidRDefault="00AC4A62" w:rsidP="009A3F2B">
            <w:pPr>
              <w:jc w:val="center"/>
              <w:rPr>
                <w:b/>
                <w:color w:val="3C5896"/>
                <w:sz w:val="18"/>
                <w:szCs w:val="18"/>
              </w:rPr>
            </w:pPr>
            <w:r w:rsidRPr="00631C1B">
              <w:rPr>
                <w:b/>
                <w:color w:val="3C5896"/>
                <w:sz w:val="18"/>
                <w:szCs w:val="18"/>
              </w:rPr>
              <w:t>Grant offer letter target</w:t>
            </w:r>
          </w:p>
        </w:tc>
        <w:tc>
          <w:tcPr>
            <w:tcW w:w="507" w:type="pct"/>
            <w:tcBorders>
              <w:top w:val="single" w:sz="12" w:space="0" w:color="3C5896" w:themeColor="accent1"/>
              <w:left w:val="single" w:sz="4" w:space="0" w:color="auto"/>
              <w:bottom w:val="single" w:sz="12" w:space="0" w:color="3C5896" w:themeColor="accent1"/>
              <w:right w:val="single" w:sz="4" w:space="0" w:color="auto"/>
            </w:tcBorders>
          </w:tcPr>
          <w:p w14:paraId="5EA04BE2" w14:textId="77777777" w:rsidR="00AC4A62" w:rsidRPr="00631C1B" w:rsidRDefault="00AC4A62" w:rsidP="009A3F2B">
            <w:pPr>
              <w:jc w:val="center"/>
              <w:rPr>
                <w:b/>
                <w:color w:val="3C5896"/>
                <w:sz w:val="18"/>
                <w:szCs w:val="18"/>
              </w:rPr>
            </w:pPr>
            <w:r w:rsidRPr="00631C1B">
              <w:rPr>
                <w:b/>
                <w:color w:val="3C5896"/>
                <w:sz w:val="18"/>
                <w:szCs w:val="18"/>
              </w:rPr>
              <w:t>Actual</w:t>
            </w:r>
          </w:p>
        </w:tc>
        <w:tc>
          <w:tcPr>
            <w:tcW w:w="90" w:type="pct"/>
            <w:tcBorders>
              <w:top w:val="single" w:sz="12" w:space="0" w:color="3C5896" w:themeColor="accent1"/>
              <w:left w:val="single" w:sz="4" w:space="0" w:color="auto"/>
              <w:bottom w:val="single" w:sz="12" w:space="0" w:color="3C5896" w:themeColor="accent1"/>
            </w:tcBorders>
          </w:tcPr>
          <w:p w14:paraId="468C100B" w14:textId="77777777" w:rsidR="00AC4A62" w:rsidRPr="00631C1B" w:rsidRDefault="00AC4A62" w:rsidP="009A3F2B">
            <w:pPr>
              <w:jc w:val="center"/>
              <w:rPr>
                <w:b/>
                <w:color w:val="3C5896"/>
                <w:sz w:val="18"/>
                <w:szCs w:val="18"/>
              </w:rPr>
            </w:pPr>
          </w:p>
        </w:tc>
        <w:tc>
          <w:tcPr>
            <w:tcW w:w="778" w:type="pct"/>
            <w:tcBorders>
              <w:top w:val="single" w:sz="12" w:space="0" w:color="3C5896" w:themeColor="accent1"/>
              <w:bottom w:val="single" w:sz="12" w:space="0" w:color="3C5896" w:themeColor="accent1"/>
            </w:tcBorders>
          </w:tcPr>
          <w:p w14:paraId="065041E7" w14:textId="77777777" w:rsidR="00AC4A62" w:rsidRPr="00631C1B" w:rsidRDefault="00AC4A62" w:rsidP="009A3F2B">
            <w:pPr>
              <w:jc w:val="center"/>
              <w:rPr>
                <w:b/>
                <w:color w:val="3C5896"/>
                <w:sz w:val="18"/>
                <w:szCs w:val="18"/>
              </w:rPr>
            </w:pPr>
            <w:r w:rsidRPr="00631C1B">
              <w:rPr>
                <w:b/>
                <w:color w:val="3C5896"/>
                <w:sz w:val="18"/>
                <w:szCs w:val="18"/>
              </w:rPr>
              <w:t>Variance</w:t>
            </w:r>
          </w:p>
        </w:tc>
      </w:tr>
      <w:tr w:rsidR="006A533B" w:rsidRPr="00631C1B" w14:paraId="27D64A45" w14:textId="77777777" w:rsidTr="009A3F2B">
        <w:tc>
          <w:tcPr>
            <w:tcW w:w="927" w:type="pct"/>
            <w:tcBorders>
              <w:top w:val="single" w:sz="12" w:space="0" w:color="3C5896" w:themeColor="accent1"/>
              <w:bottom w:val="single" w:sz="4" w:space="0" w:color="auto"/>
              <w:right w:val="single" w:sz="4" w:space="0" w:color="auto"/>
            </w:tcBorders>
          </w:tcPr>
          <w:p w14:paraId="35554A3C" w14:textId="77777777" w:rsidR="00AC4A62" w:rsidRPr="00631C1B" w:rsidRDefault="00AC4A62" w:rsidP="009A3F2B">
            <w:pPr>
              <w:rPr>
                <w:sz w:val="18"/>
                <w:szCs w:val="18"/>
              </w:rPr>
            </w:pPr>
            <w:r w:rsidRPr="00631C1B">
              <w:rPr>
                <w:sz w:val="18"/>
                <w:szCs w:val="18"/>
              </w:rPr>
              <w:t>Young people gain accreditation for learning and skills development</w:t>
            </w:r>
          </w:p>
        </w:tc>
        <w:tc>
          <w:tcPr>
            <w:tcW w:w="556" w:type="pct"/>
            <w:tcBorders>
              <w:top w:val="single" w:sz="12" w:space="0" w:color="3C5896" w:themeColor="accent1"/>
              <w:left w:val="single" w:sz="4" w:space="0" w:color="auto"/>
              <w:bottom w:val="single" w:sz="4" w:space="0" w:color="auto"/>
              <w:right w:val="single" w:sz="4" w:space="0" w:color="auto"/>
            </w:tcBorders>
          </w:tcPr>
          <w:p w14:paraId="240DB511" w14:textId="00C8CE1E" w:rsidR="00AC4A62" w:rsidRPr="00631C1B" w:rsidRDefault="007C372E" w:rsidP="009A3F2B">
            <w:pPr>
              <w:jc w:val="center"/>
              <w:rPr>
                <w:sz w:val="18"/>
                <w:szCs w:val="18"/>
              </w:rPr>
            </w:pPr>
            <w:r w:rsidRPr="00631C1B">
              <w:rPr>
                <w:sz w:val="18"/>
                <w:szCs w:val="18"/>
              </w:rPr>
              <w:t>1,350</w:t>
            </w:r>
          </w:p>
        </w:tc>
        <w:tc>
          <w:tcPr>
            <w:tcW w:w="542" w:type="pct"/>
            <w:tcBorders>
              <w:top w:val="single" w:sz="12" w:space="0" w:color="3C5896" w:themeColor="accent1"/>
              <w:left w:val="single" w:sz="4" w:space="0" w:color="auto"/>
              <w:bottom w:val="single" w:sz="4" w:space="0" w:color="auto"/>
              <w:right w:val="single" w:sz="4" w:space="0" w:color="auto"/>
            </w:tcBorders>
          </w:tcPr>
          <w:p w14:paraId="3CE81BC7" w14:textId="2C5B4876" w:rsidR="00AC4A62" w:rsidRPr="00631C1B" w:rsidRDefault="00235810" w:rsidP="009A3F2B">
            <w:pPr>
              <w:jc w:val="center"/>
              <w:rPr>
                <w:sz w:val="18"/>
                <w:szCs w:val="18"/>
              </w:rPr>
            </w:pPr>
            <w:r w:rsidRPr="00631C1B">
              <w:rPr>
                <w:sz w:val="18"/>
                <w:szCs w:val="18"/>
              </w:rPr>
              <w:t>1,31</w:t>
            </w:r>
            <w:r w:rsidR="0012242B" w:rsidRPr="00631C1B">
              <w:rPr>
                <w:sz w:val="18"/>
                <w:szCs w:val="18"/>
              </w:rPr>
              <w:t>5</w:t>
            </w:r>
          </w:p>
        </w:tc>
        <w:tc>
          <w:tcPr>
            <w:tcW w:w="499" w:type="pct"/>
            <w:tcBorders>
              <w:top w:val="single" w:sz="12" w:space="0" w:color="3C5896" w:themeColor="accent1"/>
              <w:left w:val="single" w:sz="4" w:space="0" w:color="auto"/>
              <w:bottom w:val="single" w:sz="4" w:space="0" w:color="auto"/>
              <w:right w:val="single" w:sz="4" w:space="0" w:color="auto"/>
            </w:tcBorders>
          </w:tcPr>
          <w:p w14:paraId="2F7E6986" w14:textId="7227F1D3" w:rsidR="00AC4A62" w:rsidRPr="00631C1B" w:rsidRDefault="00393EFB" w:rsidP="009A3F2B">
            <w:pPr>
              <w:jc w:val="center"/>
              <w:rPr>
                <w:sz w:val="18"/>
                <w:szCs w:val="18"/>
              </w:rPr>
            </w:pPr>
            <w:r w:rsidRPr="00631C1B">
              <w:rPr>
                <w:sz w:val="18"/>
                <w:szCs w:val="18"/>
              </w:rPr>
              <w:t>N/A</w:t>
            </w:r>
          </w:p>
        </w:tc>
        <w:tc>
          <w:tcPr>
            <w:tcW w:w="602" w:type="pct"/>
            <w:tcBorders>
              <w:top w:val="single" w:sz="12" w:space="0" w:color="3C5896" w:themeColor="accent1"/>
              <w:left w:val="single" w:sz="4" w:space="0" w:color="auto"/>
              <w:right w:val="single" w:sz="4" w:space="0" w:color="auto"/>
            </w:tcBorders>
          </w:tcPr>
          <w:p w14:paraId="1FA3176B" w14:textId="037B345D" w:rsidR="00AC4A62" w:rsidRPr="00631C1B" w:rsidRDefault="00E422AA" w:rsidP="009A3F2B">
            <w:pPr>
              <w:jc w:val="center"/>
              <w:rPr>
                <w:sz w:val="18"/>
                <w:szCs w:val="18"/>
              </w:rPr>
            </w:pPr>
            <w:r w:rsidRPr="00631C1B">
              <w:rPr>
                <w:sz w:val="18"/>
                <w:szCs w:val="18"/>
              </w:rPr>
              <w:t>1,840</w:t>
            </w:r>
          </w:p>
        </w:tc>
        <w:tc>
          <w:tcPr>
            <w:tcW w:w="499" w:type="pct"/>
            <w:tcBorders>
              <w:top w:val="single" w:sz="12" w:space="0" w:color="3C5896" w:themeColor="accent1"/>
              <w:left w:val="single" w:sz="4" w:space="0" w:color="auto"/>
              <w:right w:val="single" w:sz="4" w:space="0" w:color="auto"/>
            </w:tcBorders>
          </w:tcPr>
          <w:p w14:paraId="4EC62043" w14:textId="659778E6" w:rsidR="00AC4A62" w:rsidRPr="00631C1B" w:rsidRDefault="00393EFB" w:rsidP="009A3F2B">
            <w:pPr>
              <w:jc w:val="center"/>
              <w:rPr>
                <w:sz w:val="18"/>
                <w:szCs w:val="18"/>
              </w:rPr>
            </w:pPr>
            <w:r w:rsidRPr="00631C1B">
              <w:rPr>
                <w:sz w:val="18"/>
                <w:szCs w:val="18"/>
              </w:rPr>
              <w:t>1,350</w:t>
            </w:r>
          </w:p>
        </w:tc>
        <w:tc>
          <w:tcPr>
            <w:tcW w:w="507" w:type="pct"/>
            <w:tcBorders>
              <w:top w:val="single" w:sz="12" w:space="0" w:color="3C5896" w:themeColor="accent1"/>
              <w:left w:val="single" w:sz="4" w:space="0" w:color="auto"/>
              <w:right w:val="single" w:sz="4" w:space="0" w:color="auto"/>
            </w:tcBorders>
          </w:tcPr>
          <w:p w14:paraId="21D0939E" w14:textId="61665255" w:rsidR="00AC4A62" w:rsidRPr="00631C1B" w:rsidRDefault="005F5F2C" w:rsidP="005F5F2C">
            <w:pPr>
              <w:jc w:val="center"/>
              <w:rPr>
                <w:sz w:val="18"/>
                <w:szCs w:val="18"/>
              </w:rPr>
            </w:pPr>
            <w:r w:rsidRPr="00631C1B">
              <w:rPr>
                <w:sz w:val="18"/>
                <w:szCs w:val="18"/>
              </w:rPr>
              <w:t>3,155</w:t>
            </w:r>
          </w:p>
        </w:tc>
        <w:tc>
          <w:tcPr>
            <w:tcW w:w="90" w:type="pct"/>
            <w:tcBorders>
              <w:top w:val="single" w:sz="12" w:space="0" w:color="3C5896" w:themeColor="accent1"/>
              <w:left w:val="single" w:sz="4" w:space="0" w:color="auto"/>
            </w:tcBorders>
          </w:tcPr>
          <w:p w14:paraId="59BBCFBE" w14:textId="77777777" w:rsidR="00AC4A62" w:rsidRPr="00631C1B" w:rsidRDefault="00AC4A62" w:rsidP="005F5F2C">
            <w:pPr>
              <w:jc w:val="center"/>
              <w:rPr>
                <w:sz w:val="18"/>
                <w:szCs w:val="18"/>
              </w:rPr>
            </w:pPr>
          </w:p>
        </w:tc>
        <w:tc>
          <w:tcPr>
            <w:tcW w:w="778" w:type="pct"/>
            <w:tcBorders>
              <w:top w:val="single" w:sz="12" w:space="0" w:color="3C5896" w:themeColor="accent1"/>
            </w:tcBorders>
          </w:tcPr>
          <w:p w14:paraId="151D8078" w14:textId="02081E44" w:rsidR="00AC4A62" w:rsidRPr="00631C1B" w:rsidRDefault="00477A33" w:rsidP="009A3F2B">
            <w:pPr>
              <w:jc w:val="center"/>
              <w:rPr>
                <w:sz w:val="18"/>
                <w:szCs w:val="18"/>
              </w:rPr>
            </w:pPr>
            <w:r w:rsidRPr="00631C1B">
              <w:rPr>
                <w:sz w:val="18"/>
                <w:szCs w:val="18"/>
              </w:rPr>
              <w:t>+1,805</w:t>
            </w:r>
          </w:p>
        </w:tc>
      </w:tr>
      <w:tr w:rsidR="006A533B" w:rsidRPr="00631C1B" w14:paraId="68A9E472" w14:textId="77777777" w:rsidTr="009A3F2B">
        <w:tc>
          <w:tcPr>
            <w:tcW w:w="927" w:type="pct"/>
            <w:tcBorders>
              <w:top w:val="single" w:sz="4" w:space="0" w:color="auto"/>
              <w:right w:val="single" w:sz="4" w:space="0" w:color="auto"/>
            </w:tcBorders>
          </w:tcPr>
          <w:p w14:paraId="62EC0844" w14:textId="77777777" w:rsidR="00AC4A62" w:rsidRPr="00631C1B" w:rsidRDefault="00AC4A62" w:rsidP="009A3F2B">
            <w:pPr>
              <w:rPr>
                <w:sz w:val="18"/>
                <w:szCs w:val="18"/>
              </w:rPr>
            </w:pPr>
            <w:r w:rsidRPr="00631C1B">
              <w:rPr>
                <w:sz w:val="18"/>
                <w:szCs w:val="18"/>
              </w:rPr>
              <w:t xml:space="preserve">Young people report their skills are increasing </w:t>
            </w:r>
          </w:p>
        </w:tc>
        <w:tc>
          <w:tcPr>
            <w:tcW w:w="556" w:type="pct"/>
            <w:tcBorders>
              <w:top w:val="single" w:sz="4" w:space="0" w:color="auto"/>
              <w:left w:val="single" w:sz="4" w:space="0" w:color="auto"/>
              <w:right w:val="single" w:sz="4" w:space="0" w:color="auto"/>
            </w:tcBorders>
          </w:tcPr>
          <w:p w14:paraId="1405F252" w14:textId="6EA06D67" w:rsidR="00AC4A62" w:rsidRPr="00631C1B" w:rsidRDefault="00B15982" w:rsidP="009A3F2B">
            <w:pPr>
              <w:jc w:val="center"/>
              <w:rPr>
                <w:sz w:val="18"/>
                <w:szCs w:val="18"/>
              </w:rPr>
            </w:pPr>
            <w:r w:rsidRPr="00631C1B">
              <w:rPr>
                <w:sz w:val="18"/>
                <w:szCs w:val="18"/>
              </w:rPr>
              <w:t>6,000</w:t>
            </w:r>
          </w:p>
        </w:tc>
        <w:tc>
          <w:tcPr>
            <w:tcW w:w="542" w:type="pct"/>
            <w:tcBorders>
              <w:top w:val="single" w:sz="4" w:space="0" w:color="auto"/>
              <w:left w:val="single" w:sz="4" w:space="0" w:color="auto"/>
              <w:right w:val="single" w:sz="4" w:space="0" w:color="auto"/>
            </w:tcBorders>
          </w:tcPr>
          <w:p w14:paraId="432DF08E" w14:textId="6B711408" w:rsidR="00AC4A62" w:rsidRPr="00631C1B" w:rsidRDefault="0012242B" w:rsidP="009A3F2B">
            <w:pPr>
              <w:jc w:val="center"/>
              <w:rPr>
                <w:sz w:val="18"/>
                <w:szCs w:val="18"/>
              </w:rPr>
            </w:pPr>
            <w:r w:rsidRPr="00631C1B">
              <w:rPr>
                <w:sz w:val="18"/>
                <w:szCs w:val="18"/>
              </w:rPr>
              <w:t>5,204</w:t>
            </w:r>
          </w:p>
        </w:tc>
        <w:tc>
          <w:tcPr>
            <w:tcW w:w="499" w:type="pct"/>
            <w:tcBorders>
              <w:top w:val="single" w:sz="4" w:space="0" w:color="auto"/>
              <w:left w:val="single" w:sz="4" w:space="0" w:color="auto"/>
              <w:right w:val="single" w:sz="4" w:space="0" w:color="auto"/>
            </w:tcBorders>
          </w:tcPr>
          <w:p w14:paraId="54725D56" w14:textId="2D81BB13" w:rsidR="00AC4A62" w:rsidRPr="00631C1B" w:rsidRDefault="005C4F7F" w:rsidP="009A3F2B">
            <w:pPr>
              <w:jc w:val="center"/>
              <w:rPr>
                <w:sz w:val="18"/>
                <w:szCs w:val="18"/>
              </w:rPr>
            </w:pPr>
            <w:r w:rsidRPr="00631C1B">
              <w:rPr>
                <w:sz w:val="18"/>
                <w:szCs w:val="18"/>
              </w:rPr>
              <w:t>7,500</w:t>
            </w:r>
          </w:p>
        </w:tc>
        <w:tc>
          <w:tcPr>
            <w:tcW w:w="602" w:type="pct"/>
            <w:tcBorders>
              <w:left w:val="single" w:sz="4" w:space="0" w:color="auto"/>
              <w:right w:val="single" w:sz="4" w:space="0" w:color="auto"/>
            </w:tcBorders>
          </w:tcPr>
          <w:p w14:paraId="42739FB5" w14:textId="5F6E9D94" w:rsidR="00AC4A62" w:rsidRPr="00631C1B" w:rsidRDefault="00555F08" w:rsidP="009A3F2B">
            <w:pPr>
              <w:jc w:val="center"/>
              <w:rPr>
                <w:sz w:val="18"/>
                <w:szCs w:val="18"/>
              </w:rPr>
            </w:pPr>
            <w:r w:rsidRPr="00631C1B">
              <w:rPr>
                <w:sz w:val="18"/>
                <w:szCs w:val="18"/>
              </w:rPr>
              <w:t>4,199</w:t>
            </w:r>
          </w:p>
        </w:tc>
        <w:tc>
          <w:tcPr>
            <w:tcW w:w="499" w:type="pct"/>
            <w:tcBorders>
              <w:left w:val="single" w:sz="4" w:space="0" w:color="auto"/>
              <w:right w:val="single" w:sz="4" w:space="0" w:color="auto"/>
            </w:tcBorders>
          </w:tcPr>
          <w:p w14:paraId="68C2B912" w14:textId="75818F61" w:rsidR="00AC4A62" w:rsidRPr="00631C1B" w:rsidRDefault="00393EFB" w:rsidP="009A3F2B">
            <w:pPr>
              <w:jc w:val="center"/>
              <w:rPr>
                <w:sz w:val="18"/>
                <w:szCs w:val="18"/>
              </w:rPr>
            </w:pPr>
            <w:r w:rsidRPr="00631C1B">
              <w:rPr>
                <w:sz w:val="18"/>
                <w:szCs w:val="18"/>
              </w:rPr>
              <w:t>13,500</w:t>
            </w:r>
          </w:p>
        </w:tc>
        <w:tc>
          <w:tcPr>
            <w:tcW w:w="507" w:type="pct"/>
            <w:tcBorders>
              <w:left w:val="single" w:sz="4" w:space="0" w:color="auto"/>
              <w:right w:val="single" w:sz="4" w:space="0" w:color="auto"/>
            </w:tcBorders>
          </w:tcPr>
          <w:p w14:paraId="1142CAF9" w14:textId="57EDEFC9" w:rsidR="00AC4A62" w:rsidRPr="00631C1B" w:rsidRDefault="00490D86" w:rsidP="005F5F2C">
            <w:pPr>
              <w:jc w:val="center"/>
              <w:rPr>
                <w:sz w:val="18"/>
                <w:szCs w:val="18"/>
              </w:rPr>
            </w:pPr>
            <w:r w:rsidRPr="00631C1B">
              <w:rPr>
                <w:sz w:val="18"/>
                <w:szCs w:val="18"/>
              </w:rPr>
              <w:t>9,403</w:t>
            </w:r>
          </w:p>
        </w:tc>
        <w:tc>
          <w:tcPr>
            <w:tcW w:w="90" w:type="pct"/>
            <w:tcBorders>
              <w:left w:val="single" w:sz="4" w:space="0" w:color="auto"/>
            </w:tcBorders>
          </w:tcPr>
          <w:p w14:paraId="4A71675B" w14:textId="77777777" w:rsidR="00AC4A62" w:rsidRPr="00631C1B" w:rsidRDefault="00AC4A62" w:rsidP="005F5F2C">
            <w:pPr>
              <w:jc w:val="center"/>
              <w:rPr>
                <w:sz w:val="18"/>
                <w:szCs w:val="18"/>
              </w:rPr>
            </w:pPr>
          </w:p>
        </w:tc>
        <w:tc>
          <w:tcPr>
            <w:tcW w:w="778" w:type="pct"/>
          </w:tcPr>
          <w:p w14:paraId="7B96F109" w14:textId="7709C9AA" w:rsidR="00AC4A62" w:rsidRPr="00631C1B" w:rsidRDefault="001A7A1F" w:rsidP="009A3F2B">
            <w:pPr>
              <w:jc w:val="center"/>
              <w:rPr>
                <w:sz w:val="18"/>
                <w:szCs w:val="18"/>
              </w:rPr>
            </w:pPr>
            <w:r w:rsidRPr="00631C1B">
              <w:rPr>
                <w:sz w:val="18"/>
                <w:szCs w:val="18"/>
              </w:rPr>
              <w:t>-4,097</w:t>
            </w:r>
          </w:p>
        </w:tc>
      </w:tr>
      <w:tr w:rsidR="006A533B" w:rsidRPr="00631C1B" w14:paraId="44854A4D" w14:textId="77777777" w:rsidTr="009A3F2B">
        <w:tc>
          <w:tcPr>
            <w:tcW w:w="927" w:type="pct"/>
            <w:tcBorders>
              <w:bottom w:val="nil"/>
              <w:right w:val="single" w:sz="4" w:space="0" w:color="auto"/>
            </w:tcBorders>
          </w:tcPr>
          <w:p w14:paraId="58ADE51F" w14:textId="77777777" w:rsidR="00AC4A62" w:rsidRPr="00631C1B" w:rsidRDefault="00AC4A62" w:rsidP="009A3F2B">
            <w:pPr>
              <w:rPr>
                <w:sz w:val="18"/>
                <w:szCs w:val="18"/>
              </w:rPr>
            </w:pPr>
            <w:r w:rsidRPr="00631C1B">
              <w:rPr>
                <w:sz w:val="18"/>
                <w:szCs w:val="18"/>
              </w:rPr>
              <w:t>Stakeholders report on increased skills in young people</w:t>
            </w:r>
          </w:p>
        </w:tc>
        <w:tc>
          <w:tcPr>
            <w:tcW w:w="556" w:type="pct"/>
            <w:tcBorders>
              <w:left w:val="single" w:sz="4" w:space="0" w:color="auto"/>
              <w:bottom w:val="nil"/>
              <w:right w:val="single" w:sz="4" w:space="0" w:color="auto"/>
            </w:tcBorders>
          </w:tcPr>
          <w:p w14:paraId="223BABD5" w14:textId="1545D132" w:rsidR="00AC4A62" w:rsidRPr="00631C1B" w:rsidRDefault="00B15982" w:rsidP="009A3F2B">
            <w:pPr>
              <w:jc w:val="center"/>
              <w:rPr>
                <w:sz w:val="18"/>
                <w:szCs w:val="18"/>
              </w:rPr>
            </w:pPr>
            <w:r w:rsidRPr="00631C1B">
              <w:rPr>
                <w:sz w:val="18"/>
                <w:szCs w:val="18"/>
              </w:rPr>
              <w:t>75%</w:t>
            </w:r>
          </w:p>
        </w:tc>
        <w:tc>
          <w:tcPr>
            <w:tcW w:w="542" w:type="pct"/>
            <w:tcBorders>
              <w:left w:val="single" w:sz="4" w:space="0" w:color="auto"/>
              <w:bottom w:val="nil"/>
              <w:right w:val="single" w:sz="4" w:space="0" w:color="auto"/>
            </w:tcBorders>
          </w:tcPr>
          <w:p w14:paraId="663BCE7D" w14:textId="03AB8F4B" w:rsidR="00AC4A62" w:rsidRPr="00631C1B" w:rsidRDefault="006A533B" w:rsidP="009A3F2B">
            <w:pPr>
              <w:jc w:val="center"/>
              <w:rPr>
                <w:sz w:val="18"/>
                <w:szCs w:val="18"/>
              </w:rPr>
            </w:pPr>
            <w:r w:rsidRPr="00631C1B">
              <w:rPr>
                <w:sz w:val="18"/>
                <w:szCs w:val="18"/>
              </w:rPr>
              <w:t>100%</w:t>
            </w:r>
          </w:p>
        </w:tc>
        <w:tc>
          <w:tcPr>
            <w:tcW w:w="499" w:type="pct"/>
            <w:tcBorders>
              <w:left w:val="single" w:sz="4" w:space="0" w:color="auto"/>
              <w:bottom w:val="nil"/>
              <w:right w:val="single" w:sz="4" w:space="0" w:color="auto"/>
            </w:tcBorders>
          </w:tcPr>
          <w:p w14:paraId="1F6D6F86" w14:textId="17297C2F" w:rsidR="00AC4A62" w:rsidRPr="00631C1B" w:rsidRDefault="005C4F7F" w:rsidP="009A3F2B">
            <w:pPr>
              <w:jc w:val="center"/>
              <w:rPr>
                <w:sz w:val="18"/>
                <w:szCs w:val="18"/>
              </w:rPr>
            </w:pPr>
            <w:r w:rsidRPr="00631C1B">
              <w:rPr>
                <w:sz w:val="18"/>
                <w:szCs w:val="18"/>
              </w:rPr>
              <w:t>75%</w:t>
            </w:r>
          </w:p>
        </w:tc>
        <w:tc>
          <w:tcPr>
            <w:tcW w:w="602" w:type="pct"/>
            <w:tcBorders>
              <w:left w:val="single" w:sz="4" w:space="0" w:color="auto"/>
              <w:bottom w:val="nil"/>
              <w:right w:val="single" w:sz="4" w:space="0" w:color="auto"/>
            </w:tcBorders>
          </w:tcPr>
          <w:p w14:paraId="445C208D" w14:textId="03AC7162" w:rsidR="00AC4A62" w:rsidRPr="00631C1B" w:rsidRDefault="006A533B" w:rsidP="009A3F2B">
            <w:pPr>
              <w:jc w:val="center"/>
              <w:rPr>
                <w:sz w:val="18"/>
                <w:szCs w:val="18"/>
              </w:rPr>
            </w:pPr>
            <w:r w:rsidRPr="00631C1B">
              <w:rPr>
                <w:sz w:val="18"/>
                <w:szCs w:val="18"/>
              </w:rPr>
              <w:t>N/A</w:t>
            </w:r>
          </w:p>
        </w:tc>
        <w:tc>
          <w:tcPr>
            <w:tcW w:w="499" w:type="pct"/>
            <w:tcBorders>
              <w:left w:val="single" w:sz="4" w:space="0" w:color="auto"/>
              <w:bottom w:val="nil"/>
              <w:right w:val="single" w:sz="4" w:space="0" w:color="auto"/>
            </w:tcBorders>
          </w:tcPr>
          <w:p w14:paraId="1D5995E5" w14:textId="09FB1A27" w:rsidR="00AC4A62" w:rsidRPr="00631C1B" w:rsidRDefault="00393EFB" w:rsidP="009A3F2B">
            <w:pPr>
              <w:jc w:val="center"/>
              <w:rPr>
                <w:sz w:val="18"/>
                <w:szCs w:val="18"/>
              </w:rPr>
            </w:pPr>
            <w:r w:rsidRPr="00631C1B">
              <w:rPr>
                <w:sz w:val="18"/>
                <w:szCs w:val="18"/>
              </w:rPr>
              <w:t>75%</w:t>
            </w:r>
          </w:p>
        </w:tc>
        <w:tc>
          <w:tcPr>
            <w:tcW w:w="507" w:type="pct"/>
            <w:tcBorders>
              <w:left w:val="single" w:sz="4" w:space="0" w:color="auto"/>
              <w:bottom w:val="nil"/>
              <w:right w:val="single" w:sz="4" w:space="0" w:color="auto"/>
            </w:tcBorders>
          </w:tcPr>
          <w:p w14:paraId="10D82F69" w14:textId="464204DD" w:rsidR="00AC4A62" w:rsidRPr="00631C1B" w:rsidRDefault="0060574E" w:rsidP="0060574E">
            <w:pPr>
              <w:jc w:val="center"/>
              <w:rPr>
                <w:sz w:val="18"/>
                <w:szCs w:val="18"/>
              </w:rPr>
            </w:pPr>
            <w:r w:rsidRPr="00631C1B">
              <w:rPr>
                <w:sz w:val="18"/>
                <w:szCs w:val="18"/>
              </w:rPr>
              <w:t>100%</w:t>
            </w:r>
          </w:p>
        </w:tc>
        <w:tc>
          <w:tcPr>
            <w:tcW w:w="90" w:type="pct"/>
            <w:tcBorders>
              <w:left w:val="single" w:sz="4" w:space="0" w:color="auto"/>
            </w:tcBorders>
          </w:tcPr>
          <w:p w14:paraId="509F91FB" w14:textId="77777777" w:rsidR="00AC4A62" w:rsidRPr="00631C1B" w:rsidRDefault="00AC4A62" w:rsidP="005F5F2C">
            <w:pPr>
              <w:jc w:val="center"/>
              <w:rPr>
                <w:sz w:val="18"/>
                <w:szCs w:val="18"/>
              </w:rPr>
            </w:pPr>
          </w:p>
        </w:tc>
        <w:tc>
          <w:tcPr>
            <w:tcW w:w="778" w:type="pct"/>
          </w:tcPr>
          <w:p w14:paraId="14B024ED" w14:textId="32AF6023" w:rsidR="00AC4A62" w:rsidRPr="00631C1B" w:rsidRDefault="0060574E" w:rsidP="009A3F2B">
            <w:pPr>
              <w:jc w:val="center"/>
              <w:rPr>
                <w:sz w:val="18"/>
                <w:szCs w:val="18"/>
              </w:rPr>
            </w:pPr>
            <w:r w:rsidRPr="00631C1B">
              <w:rPr>
                <w:sz w:val="18"/>
                <w:szCs w:val="18"/>
              </w:rPr>
              <w:t>+25%</w:t>
            </w:r>
          </w:p>
        </w:tc>
      </w:tr>
    </w:tbl>
    <w:p w14:paraId="48803A46" w14:textId="6E22799D" w:rsidR="00AC4A62" w:rsidRPr="00631C1B" w:rsidRDefault="00AC4A62" w:rsidP="00AC4A62">
      <w:pPr>
        <w:pStyle w:val="Source"/>
      </w:pPr>
      <w:r w:rsidRPr="00631C1B">
        <w:t>Source: Creative Scotland / BOP Consulting (20</w:t>
      </w:r>
      <w:r w:rsidR="00AA5D6B" w:rsidRPr="00631C1B">
        <w:t>20</w:t>
      </w:r>
      <w:r w:rsidRPr="00631C1B">
        <w:t>)</w:t>
      </w:r>
    </w:p>
    <w:p w14:paraId="0BF11134" w14:textId="21218122" w:rsidR="007F03D8" w:rsidRPr="00631C1B" w:rsidRDefault="002C24D9" w:rsidP="00CA71FB">
      <w:pPr>
        <w:pStyle w:val="Subheadingnonumber"/>
      </w:pPr>
      <w:r w:rsidRPr="00631C1B">
        <w:t xml:space="preserve">Key </w:t>
      </w:r>
      <w:r w:rsidR="00F43945" w:rsidRPr="00631C1B">
        <w:t>programme learning</w:t>
      </w:r>
    </w:p>
    <w:p w14:paraId="280E1EDB" w14:textId="5ECB826F" w:rsidR="002C24D9" w:rsidRPr="00631C1B" w:rsidRDefault="002C24D9" w:rsidP="00CA71FB">
      <w:pPr>
        <w:pStyle w:val="ListBullet"/>
      </w:pPr>
      <w:r w:rsidRPr="00631C1B">
        <w:t xml:space="preserve">Consider </w:t>
      </w:r>
      <w:r w:rsidR="000C4020" w:rsidRPr="00631C1B">
        <w:t>asking organisations to scope in detail how they will resource accreditation</w:t>
      </w:r>
      <w:r w:rsidR="008F4050" w:rsidRPr="00631C1B">
        <w:t>s throughout projects</w:t>
      </w:r>
      <w:r w:rsidR="000C4020" w:rsidRPr="00631C1B">
        <w:t xml:space="preserve"> and </w:t>
      </w:r>
      <w:r w:rsidR="008F4050" w:rsidRPr="00631C1B">
        <w:t>signpost to any additional support available</w:t>
      </w:r>
    </w:p>
    <w:p w14:paraId="4057B87C" w14:textId="134DD5D3" w:rsidR="008F4050" w:rsidRPr="00631C1B" w:rsidRDefault="008F4050" w:rsidP="00CA71FB">
      <w:pPr>
        <w:pStyle w:val="ListBullet"/>
      </w:pPr>
      <w:r w:rsidRPr="00631C1B">
        <w:t xml:space="preserve">Enable a flexible </w:t>
      </w:r>
      <w:r w:rsidR="00672A6D" w:rsidRPr="00631C1B">
        <w:t xml:space="preserve">evaluation </w:t>
      </w:r>
      <w:r w:rsidRPr="00631C1B">
        <w:t xml:space="preserve">approach to be </w:t>
      </w:r>
      <w:r w:rsidR="00672A6D" w:rsidRPr="00631C1B">
        <w:t>adopted by projects to better demonstrate skills development where accreditations are not deemed appropriate</w:t>
      </w:r>
      <w:r w:rsidR="00CA71FB" w:rsidRPr="00631C1B">
        <w:t>.</w:t>
      </w:r>
    </w:p>
    <w:p w14:paraId="103A166E" w14:textId="77777777" w:rsidR="008F4050" w:rsidRPr="00631C1B" w:rsidRDefault="008F4050" w:rsidP="00CA71FB">
      <w:pPr>
        <w:pStyle w:val="BodyText"/>
      </w:pPr>
    </w:p>
    <w:p w14:paraId="049574CE" w14:textId="51907522" w:rsidR="007F03D8" w:rsidRPr="00631C1B" w:rsidRDefault="007F03D8" w:rsidP="007F03D8">
      <w:pPr>
        <w:pStyle w:val="Headingnonumber"/>
      </w:pPr>
      <w:bookmarkStart w:id="32" w:name="_Toc43980021"/>
      <w:r w:rsidRPr="00631C1B">
        <w:lastRenderedPageBreak/>
        <w:t xml:space="preserve">Case study 2: </w:t>
      </w:r>
      <w:r w:rsidR="001A54D1" w:rsidRPr="00631C1B">
        <w:t>Stretch</w:t>
      </w:r>
      <w:r w:rsidRPr="00631C1B">
        <w:t xml:space="preserve">, </w:t>
      </w:r>
      <w:r w:rsidR="001A54D1" w:rsidRPr="00631C1B">
        <w:t>Hot Chocolate</w:t>
      </w:r>
      <w:bookmarkEnd w:id="32"/>
    </w:p>
    <w:p w14:paraId="1D8BC831" w14:textId="0F995FDB" w:rsidR="009C25D9" w:rsidRPr="00631C1B" w:rsidRDefault="009C25D9" w:rsidP="009C25D9">
      <w:pPr>
        <w:pStyle w:val="Subheadingnonumber"/>
      </w:pPr>
      <w:r w:rsidRPr="00631C1B">
        <w:t>What is</w:t>
      </w:r>
      <w:r w:rsidR="001A54D1" w:rsidRPr="00631C1B">
        <w:t xml:space="preserve"> Stretch</w:t>
      </w:r>
      <w:r w:rsidRPr="00631C1B">
        <w:t>?</w:t>
      </w:r>
    </w:p>
    <w:p w14:paraId="47038887" w14:textId="47955B49" w:rsidR="00DC6389" w:rsidRPr="00631C1B" w:rsidRDefault="00DC6389" w:rsidP="00DC6389">
      <w:pPr>
        <w:pStyle w:val="BodyText"/>
      </w:pPr>
      <w:r w:rsidRPr="00631C1B">
        <w:t>Based in Dundee, Hot Chocolate is a youth led arts organisation working with 12-</w:t>
      </w:r>
      <w:r w:rsidR="00306335" w:rsidRPr="00631C1B">
        <w:t>25-year</w:t>
      </w:r>
      <w:r w:rsidRPr="00631C1B">
        <w:t xml:space="preserve"> olds</w:t>
      </w:r>
      <w:r w:rsidR="00312208" w:rsidRPr="00631C1B">
        <w:t>,</w:t>
      </w:r>
      <w:r w:rsidRPr="00631C1B">
        <w:t xml:space="preserve"> and often including long term participant involvement to foster responsive and collaborative working. </w:t>
      </w:r>
    </w:p>
    <w:p w14:paraId="6D997191" w14:textId="3902EB1B" w:rsidR="00DC6389" w:rsidRPr="00631C1B" w:rsidRDefault="00DC6389" w:rsidP="00DC6389">
      <w:pPr>
        <w:pStyle w:val="BodyText"/>
      </w:pPr>
      <w:r w:rsidRPr="00631C1B">
        <w:t xml:space="preserve">The Stretch </w:t>
      </w:r>
      <w:r w:rsidR="00312208" w:rsidRPr="00631C1B">
        <w:t>p</w:t>
      </w:r>
      <w:r w:rsidRPr="00631C1B">
        <w:t xml:space="preserve">roject enables participants to </w:t>
      </w:r>
      <w:r w:rsidR="006A46EC" w:rsidRPr="00631C1B">
        <w:t>‘</w:t>
      </w:r>
      <w:r w:rsidRPr="00631C1B">
        <w:t>spread their creative wings</w:t>
      </w:r>
      <w:r w:rsidR="006A46EC" w:rsidRPr="00631C1B">
        <w:t>’</w:t>
      </w:r>
      <w:r w:rsidRPr="00631C1B">
        <w:t>, developing confidence personally, socially and creatively – whatever their starting point. Engagement begins in three ways:</w:t>
      </w:r>
    </w:p>
    <w:p w14:paraId="32A6AF4E" w14:textId="6312207A" w:rsidR="00DC6389" w:rsidRPr="00631C1B" w:rsidRDefault="00DC6389" w:rsidP="00DC6389">
      <w:pPr>
        <w:pStyle w:val="ListBullet"/>
      </w:pPr>
      <w:r w:rsidRPr="00631C1B">
        <w:t>As audience: Experiencing the arts in diverse settings, broadening their understanding and enjoyment of different creative spaces – theatre, to cinema, to exhibitions, to industry visits, to festivals, talks, and shows</w:t>
      </w:r>
    </w:p>
    <w:p w14:paraId="3F9FFEE7" w14:textId="669EBE23" w:rsidR="00DC6389" w:rsidRPr="00631C1B" w:rsidRDefault="00DC6389" w:rsidP="00DC6389">
      <w:pPr>
        <w:pStyle w:val="ListBullet"/>
      </w:pPr>
      <w:r w:rsidRPr="00631C1B">
        <w:t xml:space="preserve">As maker: The chance to get their hands dirty, through tasters, workshops, commissions, and collaborations, working with the best creatives and organisations, growing their sense of identity as creative individuals </w:t>
      </w:r>
    </w:p>
    <w:p w14:paraId="7802CD44" w14:textId="77777777" w:rsidR="00DC6389" w:rsidRPr="00631C1B" w:rsidRDefault="00DC6389" w:rsidP="00DC6389">
      <w:pPr>
        <w:pStyle w:val="ListBullet"/>
      </w:pPr>
      <w:r w:rsidRPr="00631C1B">
        <w:t xml:space="preserve">As curator: Going deeper, thinking critically, and taking responsibility, leading to showcasing through curating exhibitions, staging performance, and art directing publications. </w:t>
      </w:r>
    </w:p>
    <w:p w14:paraId="1E899261" w14:textId="345635C7" w:rsidR="00DC6389" w:rsidRPr="00631C1B" w:rsidRDefault="00DC6389" w:rsidP="00DC6389">
      <w:pPr>
        <w:pStyle w:val="BodyText"/>
      </w:pPr>
      <w:r w:rsidRPr="00631C1B">
        <w:t xml:space="preserve">In </w:t>
      </w:r>
      <w:r w:rsidR="000A570D" w:rsidRPr="00631C1B">
        <w:t xml:space="preserve">Year 3 of the Stretch project, </w:t>
      </w:r>
      <w:r w:rsidRPr="00631C1B">
        <w:t>the focus</w:t>
      </w:r>
      <w:r w:rsidR="000A570D" w:rsidRPr="00631C1B">
        <w:t xml:space="preserve"> has been </w:t>
      </w:r>
      <w:r w:rsidRPr="00631C1B">
        <w:t xml:space="preserve">on </w:t>
      </w:r>
      <w:r w:rsidR="00704EDF" w:rsidRPr="00631C1B">
        <w:t>‘</w:t>
      </w:r>
      <w:r w:rsidRPr="00631C1B">
        <w:t>space</w:t>
      </w:r>
      <w:r w:rsidR="00704EDF" w:rsidRPr="00631C1B">
        <w:t>’</w:t>
      </w:r>
      <w:r w:rsidRPr="00631C1B">
        <w:t xml:space="preserve"> and incorporates digital space, physical environment and headspace.  </w:t>
      </w:r>
    </w:p>
    <w:p w14:paraId="274CC24B" w14:textId="145CBCD8" w:rsidR="00337935" w:rsidRPr="00631C1B" w:rsidRDefault="008C1BB9" w:rsidP="008C1BB9">
      <w:pPr>
        <w:pStyle w:val="Subheadingnonumber"/>
      </w:pPr>
      <w:r w:rsidRPr="00631C1B">
        <w:t>Impacts on the participants</w:t>
      </w:r>
      <w:r w:rsidR="009259BF" w:rsidRPr="00631C1B">
        <w:t xml:space="preserve"> and organisation</w:t>
      </w:r>
    </w:p>
    <w:p w14:paraId="427CE3BF" w14:textId="50AC1782" w:rsidR="009259BF" w:rsidRPr="00631C1B" w:rsidRDefault="009259BF" w:rsidP="009259BF">
      <w:pPr>
        <w:pStyle w:val="BodyText"/>
      </w:pPr>
      <w:r w:rsidRPr="00631C1B">
        <w:t>Partnership working connects</w:t>
      </w:r>
      <w:r w:rsidR="000A570D" w:rsidRPr="00631C1B">
        <w:t xml:space="preserve"> Hot Chocolate</w:t>
      </w:r>
      <w:r w:rsidRPr="00631C1B">
        <w:t xml:space="preserve"> to the wider creative sector in Dundee and beyond. Projects with Dundee Contemporary Arts help young people connect with specialists and the creative landscape of the city, leading some to a career path through aspirational connections and involvement in events</w:t>
      </w:r>
      <w:r w:rsidR="00B41A14" w:rsidRPr="00631C1B">
        <w:t>,</w:t>
      </w:r>
      <w:r w:rsidRPr="00631C1B">
        <w:t xml:space="preserve"> such as Dundee Degrees Shows, the Dundee Design Festival or Neon Digital Arts Festival. Young people can feel they have a minimal part to play in the city’s festivals</w:t>
      </w:r>
      <w:r w:rsidR="00B41A14" w:rsidRPr="00631C1B">
        <w:t>,</w:t>
      </w:r>
      <w:r w:rsidRPr="00631C1B">
        <w:t xml:space="preserve"> and progression mapping has enabled them to understand how individual ventures fit into the bigger picture. </w:t>
      </w:r>
    </w:p>
    <w:p w14:paraId="4C39ECDB" w14:textId="0B955947" w:rsidR="009259BF" w:rsidRPr="00631C1B" w:rsidRDefault="009259BF" w:rsidP="009259BF">
      <w:pPr>
        <w:pStyle w:val="BodyText"/>
      </w:pPr>
      <w:r w:rsidRPr="00631C1B">
        <w:t xml:space="preserve">Long term involvement in drop in sessions also has significant impact on individuals in terms of skills and personal development. Some young people are nurturing and developing creative talent but can encounter barriers which youth workers help navigate through. Others believe they aren’t creative at all but have been surprised by their own capacity once involved in individual projects.  The Stretch </w:t>
      </w:r>
      <w:r w:rsidR="00852885" w:rsidRPr="00631C1B">
        <w:t>p</w:t>
      </w:r>
      <w:r w:rsidRPr="00631C1B">
        <w:t>roject has embraced the spectrum from low end playful and therapeutic engagements</w:t>
      </w:r>
      <w:r w:rsidR="00852885" w:rsidRPr="00631C1B">
        <w:t>,</w:t>
      </w:r>
      <w:r w:rsidRPr="00631C1B">
        <w:t xml:space="preserve"> to </w:t>
      </w:r>
      <w:r w:rsidR="00852885" w:rsidRPr="00631C1B">
        <w:t>skills-based</w:t>
      </w:r>
      <w:r w:rsidRPr="00631C1B">
        <w:t xml:space="preserve"> development exercises to curation and exhibition. The diversity of opportunities meant that young people become involved outside their comfort zone and natural specialism.</w:t>
      </w:r>
    </w:p>
    <w:p w14:paraId="76AB389D" w14:textId="5AA3D0C4" w:rsidR="00AE7311" w:rsidRPr="00631C1B" w:rsidRDefault="009259BF" w:rsidP="009A3F2B">
      <w:pPr>
        <w:pStyle w:val="BodyText"/>
      </w:pPr>
      <w:r w:rsidRPr="00631C1B">
        <w:t>Talking to participants they mention the huge difference between involvement in creative projects here and at school.</w:t>
      </w:r>
    </w:p>
    <w:p w14:paraId="21A7D92C" w14:textId="36AF38E7" w:rsidR="00AE7311" w:rsidRPr="00631C1B" w:rsidRDefault="00AE7311" w:rsidP="009A3F2B">
      <w:pPr>
        <w:pStyle w:val="Quotesmall"/>
      </w:pPr>
      <w:r w:rsidRPr="00631C1B">
        <w:tab/>
      </w:r>
      <w:r w:rsidRPr="00631C1B">
        <w:rPr>
          <w:noProof/>
          <w:lang w:eastAsia="en-GB"/>
        </w:rPr>
        <w:drawing>
          <wp:inline distT="0" distB="0" distL="0" distR="0" wp14:anchorId="3F432375" wp14:editId="0DB41B5F">
            <wp:extent cx="197640" cy="1569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 xml:space="preserve">Here we are doing creative projects that are fun. </w:t>
      </w:r>
      <w:proofErr w:type="gramStart"/>
      <w:r w:rsidRPr="00631C1B">
        <w:t>It’s</w:t>
      </w:r>
      <w:proofErr w:type="gramEnd"/>
      <w:r w:rsidRPr="00631C1B">
        <w:t xml:space="preserve"> definitely more creative here because at school you are forced to do what they want you to do and that could be difficult for people.</w:t>
      </w:r>
    </w:p>
    <w:p w14:paraId="49DB1DE3" w14:textId="62B50203" w:rsidR="00FE0C67" w:rsidRPr="00631C1B" w:rsidRDefault="009259BF" w:rsidP="009A3F2B">
      <w:pPr>
        <w:pStyle w:val="BodyText"/>
      </w:pPr>
      <w:r w:rsidRPr="00631C1B">
        <w:t>For the organisation this project enabled increased capacity, changed their profile both in Dundee and further afield</w:t>
      </w:r>
      <w:r w:rsidR="00FE0C67" w:rsidRPr="00631C1B">
        <w:t>,</w:t>
      </w:r>
      <w:r w:rsidRPr="00631C1B">
        <w:t xml:space="preserve"> and enabled strong and lasting relationships with the creative sector to emerge and consolidate. </w:t>
      </w:r>
    </w:p>
    <w:p w14:paraId="761669B3" w14:textId="0A91F6DE" w:rsidR="00FE0C67" w:rsidRPr="00631C1B" w:rsidRDefault="00FE0C67" w:rsidP="009A3F2B">
      <w:pPr>
        <w:pStyle w:val="Quotesmall"/>
      </w:pPr>
      <w:r w:rsidRPr="00631C1B">
        <w:tab/>
      </w:r>
      <w:r w:rsidRPr="00631C1B">
        <w:rPr>
          <w:noProof/>
          <w:lang w:eastAsia="en-GB"/>
        </w:rPr>
        <w:drawing>
          <wp:inline distT="0" distB="0" distL="0" distR="0" wp14:anchorId="54E1E8DE" wp14:editId="79AF7BC4">
            <wp:extent cx="197640" cy="15696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The three years versus a year’s project gives the space to develop and learn and shift and adjust.  But even three years goes so quickly.</w:t>
      </w:r>
    </w:p>
    <w:p w14:paraId="1CB85574" w14:textId="012EF4A6" w:rsidR="00FE0C67" w:rsidRPr="00631C1B" w:rsidRDefault="00CD20CD" w:rsidP="00EB1C5B">
      <w:pPr>
        <w:pStyle w:val="Quotesmall"/>
        <w:numPr>
          <w:ilvl w:val="0"/>
          <w:numId w:val="5"/>
        </w:numPr>
        <w:jc w:val="right"/>
      </w:pPr>
      <w:r w:rsidRPr="00631C1B">
        <w:t xml:space="preserve">Chief Arts </w:t>
      </w:r>
      <w:r w:rsidR="00FE0C67" w:rsidRPr="00631C1B">
        <w:t>Lea</w:t>
      </w:r>
      <w:r w:rsidR="00935D75" w:rsidRPr="00631C1B">
        <w:t>d</w:t>
      </w:r>
    </w:p>
    <w:p w14:paraId="70925F55" w14:textId="576D3970" w:rsidR="009259BF" w:rsidRPr="00631C1B" w:rsidRDefault="009259BF" w:rsidP="009259BF">
      <w:pPr>
        <w:pStyle w:val="BodyText"/>
      </w:pPr>
      <w:r w:rsidRPr="00631C1B">
        <w:t xml:space="preserve">Andy </w:t>
      </w:r>
      <w:r w:rsidR="00762CFA" w:rsidRPr="00631C1B">
        <w:t xml:space="preserve">Robertson, Chief Arts Lead, </w:t>
      </w:r>
      <w:r w:rsidRPr="00631C1B">
        <w:t xml:space="preserve">also reports his personal development </w:t>
      </w:r>
      <w:r w:rsidR="00762CFA" w:rsidRPr="00631C1B">
        <w:t xml:space="preserve">has been </w:t>
      </w:r>
      <w:r w:rsidRPr="00631C1B">
        <w:t>enhanced through opportunities to engage with external creative networks and to participate in leadership programmes.</w:t>
      </w:r>
    </w:p>
    <w:p w14:paraId="15E614E2" w14:textId="77777777" w:rsidR="00EC2D2B" w:rsidRPr="00631C1B" w:rsidRDefault="00EC2D2B" w:rsidP="00EC2D2B">
      <w:pPr>
        <w:pStyle w:val="Subheadingnonumber"/>
      </w:pPr>
      <w:r w:rsidRPr="00631C1B">
        <w:t>Successes, challenges and learning</w:t>
      </w:r>
    </w:p>
    <w:p w14:paraId="4906B519" w14:textId="77777777" w:rsidR="002D6D1F" w:rsidRPr="00631C1B" w:rsidRDefault="002D6D1F" w:rsidP="002D6D1F">
      <w:pPr>
        <w:pStyle w:val="BodyText"/>
      </w:pPr>
      <w:r w:rsidRPr="00631C1B">
        <w:t xml:space="preserve">Hot Chocolate’s projects are participant led and this approach makes mapping out exactly what will happen over 3 years a challenge. Their planning looked </w:t>
      </w:r>
      <w:r w:rsidRPr="00631C1B">
        <w:lastRenderedPageBreak/>
        <w:t>exhaustively at one project, used as an example of how each could work and deliver. This worked well and successfully established a framework.</w:t>
      </w:r>
    </w:p>
    <w:p w14:paraId="77356845" w14:textId="77777777" w:rsidR="00935D75" w:rsidRPr="00631C1B" w:rsidRDefault="002D6D1F" w:rsidP="002D6D1F">
      <w:pPr>
        <w:pStyle w:val="BodyText"/>
      </w:pPr>
      <w:r w:rsidRPr="00631C1B">
        <w:t>One exemplar venture involved curating and delivering one week of Dundee’s Pecha Kucha Night, working with Creative Dundee. While planning</w:t>
      </w:r>
      <w:r w:rsidR="001615AC" w:rsidRPr="00631C1B">
        <w:t>,</w:t>
      </w:r>
      <w:r w:rsidRPr="00631C1B">
        <w:t xml:space="preserve"> participants suggested a graffiti artist they would all like to hear from – thinking it was a jokey suggestion. Creative Dundee ran with the idea and the artist came along and ran a </w:t>
      </w:r>
      <w:r w:rsidR="00935D75" w:rsidRPr="00631C1B">
        <w:t>six-week</w:t>
      </w:r>
      <w:r w:rsidRPr="00631C1B">
        <w:t xml:space="preserve"> graffiti school. </w:t>
      </w:r>
    </w:p>
    <w:p w14:paraId="58D2E2EF" w14:textId="2AB8F19E" w:rsidR="00935D75" w:rsidRPr="00631C1B" w:rsidRDefault="00935D75" w:rsidP="00935D75">
      <w:pPr>
        <w:pStyle w:val="Quotesmall"/>
      </w:pPr>
      <w:r w:rsidRPr="00631C1B">
        <w:rPr>
          <w:noProof/>
          <w:lang w:eastAsia="en-GB"/>
        </w:rPr>
        <w:drawing>
          <wp:inline distT="0" distB="0" distL="0" distR="0" wp14:anchorId="41D97B4B" wp14:editId="4F5BB4DA">
            <wp:extent cx="197640" cy="1569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r>
      <w:r w:rsidR="00952FAB" w:rsidRPr="00631C1B">
        <w:t>[The Pecha Kucha Night]</w:t>
      </w:r>
      <w:r w:rsidRPr="00631C1B">
        <w:t xml:space="preserve"> brought everything a lot closer in terms of aspiration. Previously they had thought of him as a creative genius, on a pedestal, only available for the few, but after the workshops realised the value of making connections across the city and making their own opportunities</w:t>
      </w:r>
    </w:p>
    <w:p w14:paraId="2D58C710" w14:textId="016C4113" w:rsidR="00935D75" w:rsidRPr="00631C1B" w:rsidRDefault="00935D75" w:rsidP="00EB1C5B">
      <w:pPr>
        <w:pStyle w:val="Quotesmall"/>
        <w:numPr>
          <w:ilvl w:val="0"/>
          <w:numId w:val="5"/>
        </w:numPr>
        <w:jc w:val="right"/>
      </w:pPr>
      <w:r w:rsidRPr="00631C1B">
        <w:t>Chief Arts Lead</w:t>
      </w:r>
    </w:p>
    <w:p w14:paraId="66F1E32A" w14:textId="6B9046D6" w:rsidR="008F6C1B" w:rsidRPr="00631C1B" w:rsidRDefault="002D6D1F" w:rsidP="002D6D1F">
      <w:pPr>
        <w:pStyle w:val="BodyText"/>
      </w:pPr>
      <w:r w:rsidRPr="00631C1B">
        <w:t>Of the Pecha Kucha Night and her involvement one participant said</w:t>
      </w:r>
      <w:r w:rsidR="008F6C1B" w:rsidRPr="00631C1B">
        <w:t>:</w:t>
      </w:r>
    </w:p>
    <w:p w14:paraId="6979D503" w14:textId="409122E9" w:rsidR="008F6C1B" w:rsidRPr="00631C1B" w:rsidRDefault="008F6C1B" w:rsidP="008F6C1B">
      <w:pPr>
        <w:pStyle w:val="Quotesmall"/>
      </w:pPr>
      <w:r w:rsidRPr="00631C1B">
        <w:rPr>
          <w:noProof/>
          <w:lang w:eastAsia="en-GB"/>
        </w:rPr>
        <w:drawing>
          <wp:inline distT="0" distB="0" distL="0" distR="0" wp14:anchorId="1B551A2A" wp14:editId="2AD970E3">
            <wp:extent cx="197640" cy="15696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It makes you more confident in yourself. You’re learning a new skill and then you’re like “Oh I can do this. This is great” and then you think “I want to do it more” because it’s something that you’re interested in because you can do it for yourself</w:t>
      </w:r>
      <w:r w:rsidR="00317DA7" w:rsidRPr="00631C1B">
        <w:t>.</w:t>
      </w:r>
    </w:p>
    <w:p w14:paraId="01EDD01A" w14:textId="439E5673" w:rsidR="008F6C1B" w:rsidRPr="00631C1B" w:rsidRDefault="00317DA7" w:rsidP="00EB1C5B">
      <w:pPr>
        <w:pStyle w:val="Quotesmall"/>
        <w:numPr>
          <w:ilvl w:val="0"/>
          <w:numId w:val="5"/>
        </w:numPr>
        <w:jc w:val="right"/>
      </w:pPr>
      <w:r w:rsidRPr="00631C1B">
        <w:t>Participant, Stretch by Hot Chocolate</w:t>
      </w:r>
    </w:p>
    <w:p w14:paraId="6FE8D8A9" w14:textId="506CD3CA" w:rsidR="002D6D1F" w:rsidRPr="00631C1B" w:rsidRDefault="002D6D1F" w:rsidP="002D6D1F">
      <w:pPr>
        <w:pStyle w:val="BodyText"/>
        <w:rPr>
          <w:color w:val="FF0000"/>
        </w:rPr>
      </w:pPr>
      <w:r w:rsidRPr="00631C1B">
        <w:t xml:space="preserve">Several young people from the project have subsequently become part of the internal volunteering programme and have tracked their involvement and commitment through Saltire awards. Though not a direct part of the </w:t>
      </w:r>
      <w:proofErr w:type="spellStart"/>
      <w:r w:rsidR="00281FAF" w:rsidRPr="00631C1B">
        <w:t>CashBack</w:t>
      </w:r>
      <w:proofErr w:type="spellEnd"/>
      <w:r w:rsidRPr="00631C1B">
        <w:t xml:space="preserve"> project, this has often involved using skills learnt to run workshops and events for other young people</w:t>
      </w:r>
      <w:r w:rsidRPr="00631C1B">
        <w:rPr>
          <w:color w:val="FF0000"/>
        </w:rPr>
        <w:t>.</w:t>
      </w:r>
    </w:p>
    <w:p w14:paraId="793FA8A0" w14:textId="77777777" w:rsidR="00220251" w:rsidRPr="00631C1B" w:rsidRDefault="00220251" w:rsidP="005A2F46">
      <w:pPr>
        <w:pStyle w:val="BodyText"/>
      </w:pPr>
    </w:p>
    <w:p w14:paraId="5F5B245A" w14:textId="77777777" w:rsidR="005A2F46" w:rsidRPr="00631C1B" w:rsidRDefault="005A2F46" w:rsidP="0025077A">
      <w:pPr>
        <w:pStyle w:val="BodyText"/>
        <w:rPr>
          <w:rFonts w:eastAsia="Times New Roman" w:cstheme="minorHAnsi"/>
          <w:lang w:eastAsia="en-GB"/>
        </w:rPr>
      </w:pPr>
    </w:p>
    <w:p w14:paraId="097EB7CF" w14:textId="2039208C" w:rsidR="00262544" w:rsidRPr="00631C1B" w:rsidRDefault="00262544">
      <w:r w:rsidRPr="00631C1B">
        <w:br w:type="page"/>
      </w:r>
    </w:p>
    <w:p w14:paraId="61A15C54" w14:textId="2A513C30" w:rsidR="00BD2E41" w:rsidRPr="00631C1B" w:rsidRDefault="00FE6DDF" w:rsidP="00BD2E41">
      <w:pPr>
        <w:pStyle w:val="Heading1"/>
      </w:pPr>
      <w:bookmarkStart w:id="33" w:name="_Toc43980022"/>
      <w:r w:rsidRPr="00631C1B">
        <w:lastRenderedPageBreak/>
        <w:t>Having a positive change on behaviour and aspiration</w:t>
      </w:r>
      <w:bookmarkEnd w:id="33"/>
    </w:p>
    <w:p w14:paraId="6F053F07" w14:textId="60D0A2A0" w:rsidR="00567DDE" w:rsidRPr="00631C1B" w:rsidRDefault="006003C0" w:rsidP="005158DC">
      <w:pPr>
        <w:pStyle w:val="BodyText"/>
      </w:pPr>
      <w:r w:rsidRPr="00631C1B">
        <w:t xml:space="preserve">While some behavioural changes were reported in projects, it is also important to remember that many, if not most, of the participants are not being </w:t>
      </w:r>
      <w:r w:rsidR="00604A5A" w:rsidRPr="00631C1B">
        <w:t xml:space="preserve">targeted because they have behavioural difficulties. </w:t>
      </w:r>
      <w:r w:rsidR="00DF6EA6" w:rsidRPr="00631C1B">
        <w:t xml:space="preserve">It was also reported by some projects that it was difficult to measure a clear increase in changed aspirations </w:t>
      </w:r>
      <w:r w:rsidR="00C83001" w:rsidRPr="00631C1B">
        <w:t>due to the short-term nature of some projects</w:t>
      </w:r>
      <w:r w:rsidR="004830EF" w:rsidRPr="00631C1B">
        <w:t xml:space="preserve"> (and a programme focus on constantly engaging new participants)</w:t>
      </w:r>
      <w:r w:rsidR="00C83001" w:rsidRPr="00631C1B">
        <w:t xml:space="preserve">, or that young people found it difficult to explain their development on these terms. </w:t>
      </w:r>
      <w:r w:rsidR="00725074" w:rsidRPr="00631C1B">
        <w:t>Stakeholders clearly reported improved aspirations among participants.</w:t>
      </w:r>
    </w:p>
    <w:p w14:paraId="1B3DE5B0" w14:textId="39C9A4D5" w:rsidR="00BD2E41" w:rsidRPr="00631C1B" w:rsidRDefault="00BD2E41" w:rsidP="00BD2E41">
      <w:pPr>
        <w:pStyle w:val="Subheadingnonumber"/>
      </w:pPr>
      <w:r w:rsidRPr="00631C1B">
        <w:t>Key findings</w:t>
      </w:r>
      <w:r w:rsidR="00FF113F" w:rsidRPr="00631C1B">
        <w:t xml:space="preserve"> for Year 3</w:t>
      </w:r>
    </w:p>
    <w:p w14:paraId="39737E05" w14:textId="358CF297" w:rsidR="00BD2E41" w:rsidRPr="00631C1B" w:rsidRDefault="00BD2E41" w:rsidP="00BD2E41">
      <w:pPr>
        <w:pStyle w:val="BodyText"/>
        <w:rPr>
          <w:b/>
        </w:rPr>
      </w:pPr>
      <w:r w:rsidRPr="00631C1B">
        <w:rPr>
          <w:b/>
        </w:rPr>
        <w:t xml:space="preserve">Targeted </w:t>
      </w:r>
      <w:r w:rsidR="00FF113F" w:rsidRPr="00631C1B">
        <w:rPr>
          <w:b/>
        </w:rPr>
        <w:t>F</w:t>
      </w:r>
      <w:r w:rsidRPr="00631C1B">
        <w:rPr>
          <w:b/>
        </w:rPr>
        <w:t>und</w:t>
      </w:r>
    </w:p>
    <w:p w14:paraId="16935BEF" w14:textId="43A5D427" w:rsidR="00DB2AB8" w:rsidRPr="00631C1B" w:rsidRDefault="00DB2AB8" w:rsidP="00CD5A41">
      <w:pPr>
        <w:pStyle w:val="ListBullet"/>
      </w:pPr>
      <w:r w:rsidRPr="00631C1B">
        <w:t>In Year 3 of the programme, most projects met their targets for participants</w:t>
      </w:r>
      <w:r w:rsidR="00CD5A41" w:rsidRPr="00631C1B">
        <w:t xml:space="preserve"> demonstrating increased aspiration, as </w:t>
      </w:r>
      <w:r w:rsidR="00B30612" w:rsidRPr="00631C1B">
        <w:t xml:space="preserve">well as </w:t>
      </w:r>
      <w:r w:rsidR="00CD5A41" w:rsidRPr="00631C1B">
        <w:t>positive changes in their behaviour</w:t>
      </w:r>
      <w:r w:rsidRPr="00631C1B">
        <w:t>, as a result of taking part in the programme</w:t>
      </w:r>
      <w:r w:rsidR="002B401B" w:rsidRPr="00631C1B">
        <w:t>. This was reflected by stakeholder testimonies</w:t>
      </w:r>
    </w:p>
    <w:p w14:paraId="54CB5606" w14:textId="13272611" w:rsidR="00FD3944" w:rsidRPr="00631C1B" w:rsidRDefault="00FD3944" w:rsidP="00FD3944">
      <w:pPr>
        <w:pStyle w:val="ListBullet"/>
      </w:pPr>
      <w:r w:rsidRPr="00631C1B">
        <w:t xml:space="preserve">Young people have been given the </w:t>
      </w:r>
      <w:r w:rsidR="00C977BF" w:rsidRPr="00631C1B">
        <w:t xml:space="preserve">time, space and guidance </w:t>
      </w:r>
      <w:r w:rsidRPr="00631C1B">
        <w:t xml:space="preserve">to be able to </w:t>
      </w:r>
      <w:r w:rsidR="003B63C2" w:rsidRPr="00631C1B">
        <w:t>have</w:t>
      </w:r>
      <w:r w:rsidR="00FC74BC" w:rsidRPr="00631C1B">
        <w:t xml:space="preserve"> valuable </w:t>
      </w:r>
      <w:r w:rsidR="003B63C2" w:rsidRPr="00631C1B">
        <w:t>‘what if’ mome</w:t>
      </w:r>
      <w:r w:rsidR="00783134" w:rsidRPr="00631C1B">
        <w:t xml:space="preserve">nts. This enabled participants to </w:t>
      </w:r>
      <w:r w:rsidRPr="00631C1B">
        <w:t>discover and discuss what further development opportunities are available to them to get them to the next stage of their personal or career development</w:t>
      </w:r>
    </w:p>
    <w:p w14:paraId="54B4F9C8" w14:textId="75A08C78" w:rsidR="00534C52" w:rsidRPr="00631C1B" w:rsidRDefault="00534C52" w:rsidP="00534C52">
      <w:pPr>
        <w:pStyle w:val="ListBullet"/>
      </w:pPr>
      <w:r w:rsidRPr="00631C1B">
        <w:t xml:space="preserve">Successful projects were able to build trust, consistency, </w:t>
      </w:r>
      <w:r w:rsidR="00FC5056" w:rsidRPr="00631C1B">
        <w:t xml:space="preserve">as well as </w:t>
      </w:r>
      <w:r w:rsidRPr="00631C1B">
        <w:t>clear and agreed parameters</w:t>
      </w:r>
      <w:r w:rsidR="00FC5056" w:rsidRPr="00631C1B">
        <w:t xml:space="preserve">. These </w:t>
      </w:r>
      <w:r w:rsidR="00A51ADC" w:rsidRPr="00631C1B">
        <w:t xml:space="preserve">were </w:t>
      </w:r>
      <w:r w:rsidR="00FC5056" w:rsidRPr="00631C1B">
        <w:t xml:space="preserve">welcomed </w:t>
      </w:r>
      <w:r w:rsidR="00A51ADC" w:rsidRPr="00631C1B">
        <w:t xml:space="preserve">by </w:t>
      </w:r>
      <w:r w:rsidR="00FC5056" w:rsidRPr="00631C1B">
        <w:t>and</w:t>
      </w:r>
      <w:r w:rsidRPr="00631C1B">
        <w:t xml:space="preserve"> enabl</w:t>
      </w:r>
      <w:r w:rsidR="00FC5056" w:rsidRPr="00631C1B">
        <w:t>ed</w:t>
      </w:r>
      <w:r w:rsidRPr="00631C1B">
        <w:t xml:space="preserve"> vulnerable and marginalised young people</w:t>
      </w:r>
      <w:r w:rsidR="00783134" w:rsidRPr="00631C1B">
        <w:t xml:space="preserve"> to</w:t>
      </w:r>
      <w:r w:rsidRPr="00631C1B">
        <w:t xml:space="preserve"> learn and progress</w:t>
      </w:r>
    </w:p>
    <w:p w14:paraId="5FB3E0BF" w14:textId="7A2722E4" w:rsidR="001E1E7C" w:rsidRPr="00631C1B" w:rsidRDefault="001E1E7C" w:rsidP="00EB1C5B">
      <w:pPr>
        <w:pStyle w:val="ListBullet"/>
      </w:pPr>
      <w:r w:rsidRPr="00631C1B">
        <w:t xml:space="preserve">Some participants had </w:t>
      </w:r>
      <w:r w:rsidR="00A51ADC" w:rsidRPr="00631C1B">
        <w:t xml:space="preserve">previous </w:t>
      </w:r>
      <w:r w:rsidRPr="00631C1B">
        <w:t xml:space="preserve">issues with formal educational systems, </w:t>
      </w:r>
      <w:r w:rsidR="00A51ADC" w:rsidRPr="00631C1B">
        <w:t xml:space="preserve">with </w:t>
      </w:r>
      <w:r w:rsidRPr="00631C1B">
        <w:t xml:space="preserve">poor attendance and antisocial behaviour. </w:t>
      </w:r>
      <w:r w:rsidR="00345A87" w:rsidRPr="00631C1B">
        <w:t>Tutors</w:t>
      </w:r>
      <w:r w:rsidRPr="00631C1B">
        <w:t xml:space="preserve"> noted that the informal environment</w:t>
      </w:r>
      <w:r w:rsidR="00231ED7" w:rsidRPr="00631C1B">
        <w:t xml:space="preserve"> and</w:t>
      </w:r>
      <w:r w:rsidR="00345A87" w:rsidRPr="00631C1B">
        <w:t xml:space="preserve"> participant-led</w:t>
      </w:r>
      <w:r w:rsidRPr="00631C1B">
        <w:t xml:space="preserve"> </w:t>
      </w:r>
      <w:r w:rsidR="00655E87" w:rsidRPr="00631C1B">
        <w:t xml:space="preserve">approach </w:t>
      </w:r>
      <w:r w:rsidRPr="00631C1B">
        <w:t>facilitated opennes</w:t>
      </w:r>
      <w:r w:rsidR="00345A87" w:rsidRPr="00631C1B">
        <w:t xml:space="preserve">s </w:t>
      </w:r>
      <w:r w:rsidR="00655E87" w:rsidRPr="00631C1B">
        <w:t xml:space="preserve">and </w:t>
      </w:r>
      <w:r w:rsidR="00345A87" w:rsidRPr="00631C1B">
        <w:t>allowed</w:t>
      </w:r>
      <w:r w:rsidRPr="00631C1B">
        <w:t xml:space="preserve"> participants to speak more freely and discuss their concerns more than they may in formal education environments</w:t>
      </w:r>
      <w:r w:rsidR="00345A87" w:rsidRPr="00631C1B">
        <w:t xml:space="preserve">. This </w:t>
      </w:r>
      <w:r w:rsidRPr="00631C1B">
        <w:t>had a positive impact on their interpersonal behaviour</w:t>
      </w:r>
      <w:r w:rsidR="00E2532B" w:rsidRPr="00631C1B">
        <w:t>.</w:t>
      </w:r>
    </w:p>
    <w:p w14:paraId="4952B739" w14:textId="4E28B58A" w:rsidR="00D97A76" w:rsidRPr="00631C1B" w:rsidRDefault="00D97A76" w:rsidP="009A3F2B">
      <w:pPr>
        <w:pStyle w:val="Quotesmall"/>
      </w:pPr>
      <w:r w:rsidRPr="00631C1B">
        <w:tab/>
      </w:r>
      <w:r w:rsidRPr="00631C1B">
        <w:rPr>
          <w:noProof/>
          <w:lang w:eastAsia="en-GB"/>
        </w:rPr>
        <w:drawing>
          <wp:inline distT="0" distB="0" distL="0" distR="0" wp14:anchorId="054BEDA3" wp14:editId="4CE83738">
            <wp:extent cx="197640" cy="1569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Participants and other people have also shared with us that they felt like the young people have better structure and routine with their day to day life due to maintaining their appointments, have developed their social skills and have established meaningful relationships and rapport with others in particular within the group settings.</w:t>
      </w:r>
    </w:p>
    <w:p w14:paraId="589B2116" w14:textId="77777777" w:rsidR="00D97A76" w:rsidRPr="00631C1B" w:rsidRDefault="00D97A76" w:rsidP="00EB1C5B">
      <w:pPr>
        <w:pStyle w:val="ListParagraph"/>
        <w:numPr>
          <w:ilvl w:val="0"/>
          <w:numId w:val="5"/>
        </w:numPr>
        <w:jc w:val="right"/>
        <w:rPr>
          <w:iCs/>
          <w:color w:val="3C5896" w:themeColor="accent1"/>
          <w:sz w:val="21"/>
        </w:rPr>
      </w:pPr>
      <w:r w:rsidRPr="00631C1B">
        <w:rPr>
          <w:iCs/>
          <w:color w:val="3C5896" w:themeColor="accent1"/>
          <w:sz w:val="21"/>
        </w:rPr>
        <w:t>Quarriers (Targeted Fund)</w:t>
      </w:r>
    </w:p>
    <w:p w14:paraId="277DEF35" w14:textId="70186046" w:rsidR="00AC4A62" w:rsidRPr="00631C1B" w:rsidRDefault="00AC4A62" w:rsidP="00B270BA">
      <w:pPr>
        <w:pStyle w:val="BodyText"/>
        <w:rPr>
          <w:b/>
        </w:rPr>
      </w:pPr>
    </w:p>
    <w:p w14:paraId="6D2B56A2" w14:textId="27A95DBD" w:rsidR="00BD2E41" w:rsidRPr="00631C1B" w:rsidRDefault="00BD2E41" w:rsidP="00B270BA">
      <w:pPr>
        <w:pStyle w:val="BodyText"/>
        <w:rPr>
          <w:b/>
        </w:rPr>
      </w:pPr>
      <w:r w:rsidRPr="00631C1B">
        <w:rPr>
          <w:b/>
        </w:rPr>
        <w:t>Open Fund</w:t>
      </w:r>
    </w:p>
    <w:p w14:paraId="258512FF" w14:textId="3A713C4F" w:rsidR="0011368D" w:rsidRPr="00631C1B" w:rsidRDefault="006349A1" w:rsidP="0011368D">
      <w:pPr>
        <w:pStyle w:val="ListBullet"/>
      </w:pPr>
      <w:r w:rsidRPr="00631C1B">
        <w:t xml:space="preserve">Positive changes to participants’ behaviour and aspirations were </w:t>
      </w:r>
      <w:r w:rsidR="00011E13" w:rsidRPr="00631C1B">
        <w:t>both e</w:t>
      </w:r>
      <w:r w:rsidR="0011368D" w:rsidRPr="00631C1B">
        <w:t>xplic</w:t>
      </w:r>
      <w:r w:rsidR="00E820C5" w:rsidRPr="00631C1B">
        <w:t>i</w:t>
      </w:r>
      <w:r w:rsidR="0011368D" w:rsidRPr="00631C1B">
        <w:t>t</w:t>
      </w:r>
      <w:r w:rsidR="0067047B" w:rsidRPr="00631C1B">
        <w:t xml:space="preserve"> and implicit</w:t>
      </w:r>
      <w:r w:rsidR="00B75EAF" w:rsidRPr="00631C1B">
        <w:t>.</w:t>
      </w:r>
      <w:r w:rsidR="001D56E4" w:rsidRPr="00631C1B">
        <w:t xml:space="preserve"> </w:t>
      </w:r>
      <w:r w:rsidR="00CF74AE" w:rsidRPr="00631C1B">
        <w:t>On one end of the spectrum, there were c</w:t>
      </w:r>
      <w:r w:rsidR="007D3703" w:rsidRPr="00631C1B">
        <w:t xml:space="preserve">lear </w:t>
      </w:r>
      <w:r w:rsidR="00CF74AE" w:rsidRPr="00631C1B">
        <w:t xml:space="preserve">and sustained </w:t>
      </w:r>
      <w:r w:rsidR="007D3703" w:rsidRPr="00631C1B">
        <w:t>changes in behaviour and aspirations</w:t>
      </w:r>
      <w:r w:rsidR="00CF74AE" w:rsidRPr="00631C1B">
        <w:t>,</w:t>
      </w:r>
      <w:r w:rsidR="007D3703" w:rsidRPr="00631C1B">
        <w:t xml:space="preserve"> </w:t>
      </w:r>
      <w:r w:rsidR="00CF74AE" w:rsidRPr="00631C1B">
        <w:t xml:space="preserve">with participants </w:t>
      </w:r>
      <w:r w:rsidR="001D56E4" w:rsidRPr="00631C1B">
        <w:t xml:space="preserve">for the first time </w:t>
      </w:r>
      <w:r w:rsidR="0011368D" w:rsidRPr="00631C1B">
        <w:t>recogni</w:t>
      </w:r>
      <w:r w:rsidR="007D3703" w:rsidRPr="00631C1B">
        <w:t>sing</w:t>
      </w:r>
      <w:r w:rsidR="00B75EAF" w:rsidRPr="00631C1B">
        <w:t xml:space="preserve"> </w:t>
      </w:r>
      <w:r w:rsidR="0011368D" w:rsidRPr="00631C1B">
        <w:t>the</w:t>
      </w:r>
      <w:r w:rsidR="001D56E4" w:rsidRPr="00631C1B">
        <w:t xml:space="preserve">ir creative </w:t>
      </w:r>
      <w:r w:rsidR="0011368D" w:rsidRPr="00631C1B">
        <w:t xml:space="preserve">skills and </w:t>
      </w:r>
      <w:r w:rsidR="001D56E4" w:rsidRPr="00631C1B">
        <w:t xml:space="preserve">the programme’s </w:t>
      </w:r>
      <w:r w:rsidR="0011368D" w:rsidRPr="00631C1B">
        <w:t>artform as a legitimate aspiration</w:t>
      </w:r>
      <w:r w:rsidR="00486CC7" w:rsidRPr="00631C1B">
        <w:t xml:space="preserve"> focus for themselves (e.g. TD1 Music Project</w:t>
      </w:r>
      <w:r w:rsidR="00B05ABD" w:rsidRPr="00631C1B">
        <w:t xml:space="preserve"> participants </w:t>
      </w:r>
      <w:r w:rsidR="00B75EAF" w:rsidRPr="00631C1B">
        <w:t xml:space="preserve">now </w:t>
      </w:r>
      <w:r w:rsidR="00B05ABD" w:rsidRPr="00631C1B">
        <w:t>wishing to pursue a music career</w:t>
      </w:r>
      <w:r w:rsidR="00486CC7" w:rsidRPr="00631C1B">
        <w:t>)</w:t>
      </w:r>
      <w:r w:rsidR="00B75EAF" w:rsidRPr="00631C1B">
        <w:t xml:space="preserve">. </w:t>
      </w:r>
      <w:r w:rsidR="007D3703" w:rsidRPr="00631C1B">
        <w:t>Whilst</w:t>
      </w:r>
      <w:r w:rsidR="00527409" w:rsidRPr="00631C1B">
        <w:t xml:space="preserve"> on the other end of the spectrum,</w:t>
      </w:r>
      <w:r w:rsidR="007D3703" w:rsidRPr="00631C1B">
        <w:t xml:space="preserve"> more subtle but still significant changes were seen i</w:t>
      </w:r>
      <w:r w:rsidR="00527409" w:rsidRPr="00631C1B">
        <w:t xml:space="preserve">n </w:t>
      </w:r>
      <w:r w:rsidR="00B05ABD" w:rsidRPr="00631C1B">
        <w:t>participants</w:t>
      </w:r>
      <w:r w:rsidR="007D3703" w:rsidRPr="00631C1B">
        <w:t>’</w:t>
      </w:r>
      <w:r w:rsidR="00B05ABD" w:rsidRPr="00631C1B">
        <w:t xml:space="preserve"> </w:t>
      </w:r>
      <w:r w:rsidR="0011368D" w:rsidRPr="00631C1B">
        <w:t xml:space="preserve">sustained </w:t>
      </w:r>
      <w:r w:rsidR="00B05ABD" w:rsidRPr="00631C1B">
        <w:t>engagement over long period</w:t>
      </w:r>
      <w:r w:rsidR="00527409" w:rsidRPr="00631C1B">
        <w:t>s</w:t>
      </w:r>
      <w:r w:rsidR="00B05ABD" w:rsidRPr="00631C1B">
        <w:t xml:space="preserve"> of time, </w:t>
      </w:r>
      <w:r w:rsidR="00527409" w:rsidRPr="00631C1B">
        <w:t xml:space="preserve">as well as </w:t>
      </w:r>
      <w:r w:rsidR="00B05ABD" w:rsidRPr="00631C1B">
        <w:t>exercising new</w:t>
      </w:r>
      <w:r w:rsidR="0011368D" w:rsidRPr="00631C1B">
        <w:t xml:space="preserve"> time </w:t>
      </w:r>
      <w:r w:rsidR="00B05ABD" w:rsidRPr="00631C1B">
        <w:t>management skills</w:t>
      </w:r>
    </w:p>
    <w:p w14:paraId="3E3B912D" w14:textId="0CC6B920" w:rsidR="001459C1" w:rsidRPr="00631C1B" w:rsidRDefault="001170A7" w:rsidP="0011368D">
      <w:pPr>
        <w:pStyle w:val="ListBullet"/>
      </w:pPr>
      <w:r w:rsidRPr="00631C1B">
        <w:t xml:space="preserve">Creative practice was </w:t>
      </w:r>
      <w:r w:rsidR="00527409" w:rsidRPr="00631C1B">
        <w:t xml:space="preserve">recognised </w:t>
      </w:r>
      <w:r w:rsidRPr="00631C1B">
        <w:t>as a</w:t>
      </w:r>
      <w:r w:rsidR="00527409" w:rsidRPr="00631C1B">
        <w:t xml:space="preserve">n effective </w:t>
      </w:r>
      <w:r w:rsidR="0011368D" w:rsidRPr="00631C1B">
        <w:t xml:space="preserve">method to express themselves in a </w:t>
      </w:r>
      <w:r w:rsidRPr="00631C1B">
        <w:t>positive</w:t>
      </w:r>
      <w:r w:rsidR="0011368D" w:rsidRPr="00631C1B">
        <w:t xml:space="preserve"> and </w:t>
      </w:r>
      <w:r w:rsidR="00527409" w:rsidRPr="00631C1B">
        <w:t>operative</w:t>
      </w:r>
      <w:r w:rsidR="0011368D" w:rsidRPr="00631C1B">
        <w:t xml:space="preserve"> way (</w:t>
      </w:r>
      <w:r w:rsidRPr="00631C1B">
        <w:t xml:space="preserve">e.g. </w:t>
      </w:r>
      <w:r w:rsidR="0011368D" w:rsidRPr="00631C1B">
        <w:t xml:space="preserve">Listen </w:t>
      </w:r>
      <w:r w:rsidRPr="00631C1B">
        <w:t>Lanarkshire</w:t>
      </w:r>
      <w:r w:rsidR="0011368D" w:rsidRPr="00631C1B">
        <w:t>)</w:t>
      </w:r>
    </w:p>
    <w:p w14:paraId="59A18181" w14:textId="6639B8DF" w:rsidR="00D73E67" w:rsidRPr="00631C1B" w:rsidRDefault="00125C5D" w:rsidP="00D73E67">
      <w:pPr>
        <w:pStyle w:val="ListBullet"/>
      </w:pPr>
      <w:r w:rsidRPr="00631C1B">
        <w:t>Sustained positive change was achieved by ‘i</w:t>
      </w:r>
      <w:r w:rsidR="00D73E67" w:rsidRPr="00631C1B">
        <w:t>dentifying achievable goals in a step by step manner</w:t>
      </w:r>
      <w:r w:rsidRPr="00631C1B">
        <w:t>’</w:t>
      </w:r>
      <w:r w:rsidR="00D73E67" w:rsidRPr="00631C1B">
        <w:t xml:space="preserve">, </w:t>
      </w:r>
      <w:r w:rsidRPr="00631C1B">
        <w:t>wit</w:t>
      </w:r>
      <w:r w:rsidR="00D73E67" w:rsidRPr="00631C1B">
        <w:t>h increments achieved via ongoing application and discussion with the artist facilitators (</w:t>
      </w:r>
      <w:r w:rsidRPr="00631C1B">
        <w:t xml:space="preserve">e.g. </w:t>
      </w:r>
      <w:r w:rsidR="00D73E67" w:rsidRPr="00631C1B">
        <w:t>D&amp;G Innovation Project)</w:t>
      </w:r>
    </w:p>
    <w:p w14:paraId="23F22255" w14:textId="6891F563" w:rsidR="00D73E67" w:rsidRPr="00631C1B" w:rsidRDefault="00D73E67" w:rsidP="00D73E67">
      <w:pPr>
        <w:pStyle w:val="ListBullet"/>
      </w:pPr>
      <w:r w:rsidRPr="00631C1B">
        <w:t>Public exhibitions created</w:t>
      </w:r>
      <w:r w:rsidR="00127F9B" w:rsidRPr="00631C1B">
        <w:t xml:space="preserve"> a</w:t>
      </w:r>
      <w:r w:rsidRPr="00631C1B">
        <w:t xml:space="preserve"> sense of pride and made participants realise that they can produce work of worth, </w:t>
      </w:r>
      <w:r w:rsidR="00127F9B" w:rsidRPr="00631C1B">
        <w:t xml:space="preserve">which in turn </w:t>
      </w:r>
      <w:r w:rsidRPr="00631C1B">
        <w:t>changed their outlook on their futures positively (</w:t>
      </w:r>
      <w:r w:rsidR="00CB69FC" w:rsidRPr="00631C1B">
        <w:t xml:space="preserve">e.g. </w:t>
      </w:r>
      <w:r w:rsidRPr="00631C1B">
        <w:t>Spark of Genius)</w:t>
      </w:r>
    </w:p>
    <w:p w14:paraId="1B1BE302" w14:textId="4E744F89" w:rsidR="00D73E67" w:rsidRPr="00631C1B" w:rsidRDefault="00D73E67" w:rsidP="00D73E67">
      <w:pPr>
        <w:pStyle w:val="ListBullet"/>
      </w:pPr>
      <w:r w:rsidRPr="00631C1B">
        <w:t xml:space="preserve">Having a flexible timetable, which changed with the group dynamic, was </w:t>
      </w:r>
      <w:r w:rsidR="00644FAC" w:rsidRPr="00631C1B">
        <w:t>especially</w:t>
      </w:r>
      <w:r w:rsidRPr="00631C1B">
        <w:t xml:space="preserve"> successful</w:t>
      </w:r>
      <w:r w:rsidR="00644FAC" w:rsidRPr="00631C1B">
        <w:t xml:space="preserve"> for participants to adapt </w:t>
      </w:r>
      <w:r w:rsidR="002C1ACB" w:rsidRPr="00631C1B">
        <w:t>around their daily lives</w:t>
      </w:r>
      <w:r w:rsidRPr="00631C1B">
        <w:t xml:space="preserve"> (</w:t>
      </w:r>
      <w:r w:rsidR="002C1ACB" w:rsidRPr="00631C1B">
        <w:t xml:space="preserve">e.g. </w:t>
      </w:r>
      <w:r w:rsidRPr="00631C1B">
        <w:t>Parkour Bridges)</w:t>
      </w:r>
    </w:p>
    <w:p w14:paraId="387902CA" w14:textId="12E008DD" w:rsidR="006318C2" w:rsidRPr="00631C1B" w:rsidRDefault="2A1DFB4F" w:rsidP="009A3F2B">
      <w:pPr>
        <w:pStyle w:val="ListBullet"/>
      </w:pPr>
      <w:r w:rsidRPr="00631C1B">
        <w:lastRenderedPageBreak/>
        <w:t>The opportunity to work with artists and creative industr</w:t>
      </w:r>
      <w:r w:rsidR="009E2A2F" w:rsidRPr="00631C1B">
        <w:t>y</w:t>
      </w:r>
      <w:r w:rsidRPr="00631C1B">
        <w:t xml:space="preserve"> professionals helped participants be more open minded to the arts and believe that they could forge a </w:t>
      </w:r>
      <w:r w:rsidR="00486B2F" w:rsidRPr="00631C1B">
        <w:t xml:space="preserve">(viable) </w:t>
      </w:r>
      <w:r w:rsidRPr="00631C1B">
        <w:t xml:space="preserve">career for themselves in the sector. This was </w:t>
      </w:r>
      <w:r w:rsidR="00D919CF" w:rsidRPr="00631C1B">
        <w:t>reported</w:t>
      </w:r>
      <w:r w:rsidRPr="00631C1B">
        <w:t xml:space="preserve"> across</w:t>
      </w:r>
      <w:r w:rsidR="006318C2" w:rsidRPr="00631C1B">
        <w:t xml:space="preserve"> </w:t>
      </w:r>
      <w:r w:rsidR="002A0C4D" w:rsidRPr="00631C1B">
        <w:t>several</w:t>
      </w:r>
      <w:r w:rsidR="006318C2" w:rsidRPr="00631C1B">
        <w:t xml:space="preserve"> </w:t>
      </w:r>
      <w:r w:rsidRPr="00631C1B">
        <w:t xml:space="preserve">projects, </w:t>
      </w:r>
      <w:r w:rsidR="00A145AB" w:rsidRPr="00631C1B">
        <w:t>especially for</w:t>
      </w:r>
      <w:r w:rsidR="00AC519D" w:rsidRPr="00631C1B">
        <w:t xml:space="preserve"> the</w:t>
      </w:r>
      <w:r w:rsidRPr="00631C1B">
        <w:t xml:space="preserve"> </w:t>
      </w:r>
      <w:proofErr w:type="spellStart"/>
      <w:r w:rsidR="006318C2" w:rsidRPr="00631C1B">
        <w:t>Lyth</w:t>
      </w:r>
      <w:proofErr w:type="spellEnd"/>
      <w:r w:rsidR="006318C2" w:rsidRPr="00631C1B">
        <w:t xml:space="preserve"> Arts Centre Young Company</w:t>
      </w:r>
    </w:p>
    <w:p w14:paraId="1C9CAE0B" w14:textId="130D3097" w:rsidR="007E1298" w:rsidRPr="00631C1B" w:rsidRDefault="2A1DFB4F" w:rsidP="00F2311B">
      <w:pPr>
        <w:pStyle w:val="ListBullet"/>
      </w:pPr>
      <w:r w:rsidRPr="00631C1B">
        <w:t xml:space="preserve">Creative expression allowed for the young people to make mistakes, and through this they were enabled to talk about and explore their goals and aspirations. Young people were </w:t>
      </w:r>
      <w:r w:rsidR="00EF2BC1" w:rsidRPr="00631C1B">
        <w:t xml:space="preserve">given </w:t>
      </w:r>
      <w:r w:rsidR="00D63AFA" w:rsidRPr="00631C1B">
        <w:t xml:space="preserve">clear leadership and </w:t>
      </w:r>
      <w:r w:rsidR="00EE7D3D" w:rsidRPr="00631C1B">
        <w:t>decision-making</w:t>
      </w:r>
      <w:r w:rsidR="00D63AFA" w:rsidRPr="00631C1B">
        <w:t xml:space="preserve"> positions in</w:t>
      </w:r>
      <w:r w:rsidRPr="00631C1B">
        <w:t xml:space="preserve"> the Paisley YMCA project, which they noted empowered them to feel capable to go on and achieve other things</w:t>
      </w:r>
      <w:r w:rsidR="00D63AFA" w:rsidRPr="00631C1B">
        <w:t xml:space="preserve"> beyond the project itself</w:t>
      </w:r>
      <w:r w:rsidRPr="00631C1B">
        <w:t xml:space="preserve">. </w:t>
      </w:r>
    </w:p>
    <w:p w14:paraId="3A570CC1" w14:textId="683A1E9E" w:rsidR="00FF113F" w:rsidRPr="00631C1B" w:rsidRDefault="00FF113F" w:rsidP="00FF113F">
      <w:pPr>
        <w:pStyle w:val="Subheadingnonumber"/>
      </w:pPr>
      <w:r w:rsidRPr="00631C1B">
        <w:t>Key findings for Targeted Fund across all years</w:t>
      </w:r>
    </w:p>
    <w:p w14:paraId="67C0FB1F" w14:textId="099D4D2F" w:rsidR="004D40B0" w:rsidRPr="00631C1B" w:rsidRDefault="004D40B0" w:rsidP="004D40B0">
      <w:pPr>
        <w:pStyle w:val="BodyText"/>
      </w:pPr>
      <w:r w:rsidRPr="00631C1B">
        <w:t>End of Project reports outlined many of the same key imp</w:t>
      </w:r>
      <w:r w:rsidR="000F3E4B" w:rsidRPr="00631C1B">
        <w:t>a</w:t>
      </w:r>
      <w:r w:rsidRPr="00631C1B">
        <w:t>cts related</w:t>
      </w:r>
      <w:r w:rsidR="00DC0E8F" w:rsidRPr="00631C1B">
        <w:t xml:space="preserve"> to</w:t>
      </w:r>
      <w:r w:rsidRPr="00631C1B">
        <w:t xml:space="preserve"> </w:t>
      </w:r>
      <w:r w:rsidR="00DC0E8F" w:rsidRPr="00631C1B">
        <w:t xml:space="preserve">increased aspiration and as positive changes in their behaviour, </w:t>
      </w:r>
      <w:r w:rsidR="00555566" w:rsidRPr="00631C1B">
        <w:t xml:space="preserve">as </w:t>
      </w:r>
      <w:r w:rsidRPr="00631C1B">
        <w:t>highlighted in the Year 3 annual reports. In addition, Targeted Fund organisations reported:</w:t>
      </w:r>
    </w:p>
    <w:p w14:paraId="4BAA1D92" w14:textId="446A9940" w:rsidR="00555566" w:rsidRPr="00631C1B" w:rsidRDefault="00F5586F" w:rsidP="00555566">
      <w:pPr>
        <w:pStyle w:val="ListBullet"/>
      </w:pPr>
      <w:r w:rsidRPr="00631C1B">
        <w:t>A</w:t>
      </w:r>
      <w:r w:rsidR="00555566" w:rsidRPr="00631C1B">
        <w:t>rt</w:t>
      </w:r>
      <w:r w:rsidR="00C14C25" w:rsidRPr="00631C1B">
        <w:t xml:space="preserve"> and creativity </w:t>
      </w:r>
      <w:r w:rsidRPr="00631C1B">
        <w:t xml:space="preserve">recognised by participants </w:t>
      </w:r>
      <w:r w:rsidR="00C14C25" w:rsidRPr="00631C1B">
        <w:t>as a po</w:t>
      </w:r>
      <w:r w:rsidR="00555566" w:rsidRPr="00631C1B">
        <w:t>sitive medium for expression</w:t>
      </w:r>
      <w:r w:rsidR="00927C4F" w:rsidRPr="00631C1B">
        <w:t>,</w:t>
      </w:r>
      <w:r w:rsidR="00555566" w:rsidRPr="00631C1B">
        <w:t xml:space="preserve"> as opposed to resorting to negative behaviours when they felt they could</w:t>
      </w:r>
      <w:r w:rsidRPr="00631C1B">
        <w:t xml:space="preserve"> not </w:t>
      </w:r>
      <w:r w:rsidR="00555566" w:rsidRPr="00631C1B">
        <w:t>express themselves in other ways</w:t>
      </w:r>
    </w:p>
    <w:p w14:paraId="36D98F6C" w14:textId="2E7167C8" w:rsidR="0067050A" w:rsidRPr="00631C1B" w:rsidRDefault="002E123F" w:rsidP="0067050A">
      <w:pPr>
        <w:pStyle w:val="ListBullet"/>
      </w:pPr>
      <w:r w:rsidRPr="00631C1B">
        <w:t>Changes in behaviour and aspirations are long-term</w:t>
      </w:r>
      <w:r w:rsidR="0067050A" w:rsidRPr="00631C1B">
        <w:t xml:space="preserve"> outcomes</w:t>
      </w:r>
      <w:r w:rsidRPr="00631C1B">
        <w:t>,</w:t>
      </w:r>
      <w:r w:rsidR="0067050A" w:rsidRPr="00631C1B">
        <w:t xml:space="preserve"> which </w:t>
      </w:r>
      <w:r w:rsidRPr="00631C1B">
        <w:t>some organisations</w:t>
      </w:r>
      <w:r w:rsidR="008745BF" w:rsidRPr="00631C1B">
        <w:t xml:space="preserve"> highlighted need to be be</w:t>
      </w:r>
      <w:r w:rsidR="0067050A" w:rsidRPr="00631C1B">
        <w:t>tter measured over</w:t>
      </w:r>
      <w:r w:rsidR="00C76BCC" w:rsidRPr="00631C1B">
        <w:t xml:space="preserve"> </w:t>
      </w:r>
      <w:r w:rsidR="0067050A" w:rsidRPr="00631C1B">
        <w:t>time</w:t>
      </w:r>
      <w:r w:rsidR="008745BF" w:rsidRPr="00631C1B">
        <w:t xml:space="preserve">. Similarly, that there’s a need to remember </w:t>
      </w:r>
      <w:r w:rsidR="000451CB" w:rsidRPr="00631C1B">
        <w:t xml:space="preserve">structural barriers that the </w:t>
      </w:r>
      <w:proofErr w:type="spellStart"/>
      <w:r w:rsidR="00281FAF" w:rsidRPr="00631C1B">
        <w:t>CashBack</w:t>
      </w:r>
      <w:proofErr w:type="spellEnd"/>
      <w:r w:rsidR="000451CB" w:rsidRPr="00631C1B">
        <w:t xml:space="preserve"> for Creative programme is unable to change, such as </w:t>
      </w:r>
      <w:r w:rsidR="00E73519" w:rsidRPr="00631C1B">
        <w:t>deprivation level</w:t>
      </w:r>
      <w:r w:rsidR="00CF43BD" w:rsidRPr="00631C1B">
        <w:t xml:space="preserve">s and </w:t>
      </w:r>
      <w:r w:rsidR="00E73519" w:rsidRPr="00631C1B">
        <w:t xml:space="preserve">caring </w:t>
      </w:r>
      <w:r w:rsidR="00070442" w:rsidRPr="00631C1B">
        <w:t>responsibilities</w:t>
      </w:r>
    </w:p>
    <w:p w14:paraId="734B3EBC" w14:textId="6AEE22B1" w:rsidR="00B354F4" w:rsidRPr="00631C1B" w:rsidRDefault="00B153C2" w:rsidP="00B354F4">
      <w:pPr>
        <w:pStyle w:val="ListBullet"/>
      </w:pPr>
      <w:r w:rsidRPr="00631C1B">
        <w:t>MCR Pathways successfully impacted on participants’ aspirations by</w:t>
      </w:r>
      <w:r w:rsidR="00CF43BD" w:rsidRPr="00631C1B">
        <w:t xml:space="preserve"> </w:t>
      </w:r>
      <w:r w:rsidRPr="00631C1B">
        <w:t>work</w:t>
      </w:r>
      <w:r w:rsidR="00B810A4" w:rsidRPr="00631C1B">
        <w:t>ing</w:t>
      </w:r>
      <w:r w:rsidRPr="00631C1B">
        <w:t xml:space="preserve"> closely with employers to design interactive half day work placements with a wide range of their workforce delivering different elements. This was key to raising aspirations amongst young people as they developed a practical knowledge of the range of roles within each creative organisation</w:t>
      </w:r>
      <w:r w:rsidR="008704C7" w:rsidRPr="00631C1B">
        <w:t xml:space="preserve">, </w:t>
      </w:r>
      <w:r w:rsidRPr="00631C1B">
        <w:t xml:space="preserve">thus challenging young people on their perceptions of types of job </w:t>
      </w:r>
      <w:r w:rsidR="006C3AFC" w:rsidRPr="00631C1B">
        <w:t>and</w:t>
      </w:r>
      <w:r w:rsidRPr="00631C1B">
        <w:t xml:space="preserve"> the variety of potential roles they could aspire to within the creative industries.</w:t>
      </w:r>
    </w:p>
    <w:p w14:paraId="46E4B611" w14:textId="58C61648" w:rsidR="00AC4A62" w:rsidRPr="00631C1B" w:rsidRDefault="00AC4A62" w:rsidP="00AC4A62">
      <w:pPr>
        <w:pStyle w:val="Caption"/>
      </w:pPr>
      <w:bookmarkStart w:id="34" w:name="_Toc42266746"/>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11</w:t>
      </w:r>
      <w:r w:rsidRPr="00631C1B">
        <w:rPr>
          <w:noProof/>
        </w:rPr>
        <w:fldChar w:fldCharType="end"/>
      </w:r>
      <w:r w:rsidRPr="00631C1B">
        <w:t xml:space="preserve">  Progress towards targets having positive change on behaviour and aspiration – based on grant offer letter – Year 3</w:t>
      </w:r>
      <w:bookmarkEnd w:id="34"/>
    </w:p>
    <w:tbl>
      <w:tblPr>
        <w:tblStyle w:val="BOPtable"/>
        <w:tblW w:w="5000" w:type="pct"/>
        <w:tblLook w:val="04A0" w:firstRow="1" w:lastRow="0" w:firstColumn="1" w:lastColumn="0" w:noHBand="0" w:noVBand="1"/>
      </w:tblPr>
      <w:tblGrid>
        <w:gridCol w:w="1276"/>
        <w:gridCol w:w="671"/>
        <w:gridCol w:w="726"/>
        <w:gridCol w:w="1125"/>
        <w:gridCol w:w="959"/>
        <w:gridCol w:w="672"/>
        <w:gridCol w:w="726"/>
        <w:gridCol w:w="946"/>
      </w:tblGrid>
      <w:tr w:rsidR="00F5640B" w:rsidRPr="00631C1B" w14:paraId="68DC2033" w14:textId="77777777" w:rsidTr="00F5640B">
        <w:trPr>
          <w:cnfStyle w:val="100000000000" w:firstRow="1" w:lastRow="0" w:firstColumn="0" w:lastColumn="0" w:oddVBand="0" w:evenVBand="0" w:oddHBand="0" w:evenHBand="0" w:firstRowFirstColumn="0" w:firstRowLastColumn="0" w:lastRowFirstColumn="0" w:lastRowLastColumn="0"/>
          <w:trHeight w:val="273"/>
        </w:trPr>
        <w:tc>
          <w:tcPr>
            <w:tcW w:w="899" w:type="pct"/>
            <w:tcBorders>
              <w:right w:val="single" w:sz="4" w:space="0" w:color="000000" w:themeColor="text1"/>
            </w:tcBorders>
          </w:tcPr>
          <w:p w14:paraId="4F299134" w14:textId="77777777" w:rsidR="00F5640B" w:rsidRPr="00631C1B" w:rsidRDefault="00F5640B" w:rsidP="009A3F2B"/>
        </w:tc>
        <w:tc>
          <w:tcPr>
            <w:tcW w:w="984" w:type="pct"/>
            <w:gridSpan w:val="2"/>
            <w:tcBorders>
              <w:left w:val="single" w:sz="4" w:space="0" w:color="000000" w:themeColor="text1"/>
              <w:right w:val="single" w:sz="4" w:space="0" w:color="000000" w:themeColor="text1"/>
            </w:tcBorders>
          </w:tcPr>
          <w:p w14:paraId="08B4485E" w14:textId="77777777" w:rsidR="00F5640B" w:rsidRPr="00631C1B" w:rsidRDefault="00F5640B" w:rsidP="009A3F2B">
            <w:pPr>
              <w:jc w:val="center"/>
            </w:pPr>
            <w:r w:rsidRPr="00631C1B">
              <w:t>Targeted Fund</w:t>
            </w:r>
          </w:p>
        </w:tc>
        <w:tc>
          <w:tcPr>
            <w:tcW w:w="1467" w:type="pct"/>
            <w:gridSpan w:val="2"/>
            <w:tcBorders>
              <w:left w:val="single" w:sz="4" w:space="0" w:color="000000" w:themeColor="text1"/>
              <w:right w:val="single" w:sz="4" w:space="0" w:color="000000" w:themeColor="text1"/>
            </w:tcBorders>
          </w:tcPr>
          <w:p w14:paraId="0748F4C6" w14:textId="77777777" w:rsidR="00F5640B" w:rsidRPr="00631C1B" w:rsidRDefault="00F5640B" w:rsidP="009A3F2B">
            <w:pPr>
              <w:jc w:val="center"/>
            </w:pPr>
            <w:r w:rsidRPr="00631C1B">
              <w:t>Open Fund</w:t>
            </w:r>
          </w:p>
        </w:tc>
        <w:tc>
          <w:tcPr>
            <w:tcW w:w="984" w:type="pct"/>
            <w:gridSpan w:val="2"/>
            <w:tcBorders>
              <w:left w:val="single" w:sz="4" w:space="0" w:color="000000" w:themeColor="text1"/>
              <w:right w:val="single" w:sz="4" w:space="0" w:color="000000" w:themeColor="text1"/>
            </w:tcBorders>
          </w:tcPr>
          <w:p w14:paraId="14E3135E" w14:textId="77777777" w:rsidR="00F5640B" w:rsidRPr="00631C1B" w:rsidRDefault="00F5640B" w:rsidP="009A3F2B">
            <w:pPr>
              <w:jc w:val="center"/>
              <w:rPr>
                <w:b w:val="0"/>
              </w:rPr>
            </w:pPr>
            <w:r w:rsidRPr="00631C1B">
              <w:t>Programme</w:t>
            </w:r>
          </w:p>
          <w:p w14:paraId="666AC2E8" w14:textId="77777777" w:rsidR="00F5640B" w:rsidRPr="00631C1B" w:rsidRDefault="00F5640B" w:rsidP="009A3F2B">
            <w:pPr>
              <w:jc w:val="center"/>
            </w:pPr>
            <w:r w:rsidRPr="00631C1B">
              <w:t>Total</w:t>
            </w:r>
          </w:p>
        </w:tc>
        <w:tc>
          <w:tcPr>
            <w:tcW w:w="666" w:type="pct"/>
            <w:tcBorders>
              <w:left w:val="single" w:sz="4" w:space="0" w:color="000000" w:themeColor="text1"/>
            </w:tcBorders>
          </w:tcPr>
          <w:p w14:paraId="28C41C3E" w14:textId="77777777" w:rsidR="00F5640B" w:rsidRPr="00631C1B" w:rsidRDefault="00F5640B" w:rsidP="009A3F2B">
            <w:pPr>
              <w:jc w:val="center"/>
            </w:pPr>
          </w:p>
        </w:tc>
      </w:tr>
      <w:tr w:rsidR="00040308" w:rsidRPr="00631C1B" w14:paraId="7862D19F" w14:textId="77777777" w:rsidTr="00F5640B">
        <w:trPr>
          <w:trHeight w:val="557"/>
        </w:trPr>
        <w:tc>
          <w:tcPr>
            <w:tcW w:w="899" w:type="pct"/>
            <w:tcBorders>
              <w:top w:val="single" w:sz="12" w:space="0" w:color="3C5896" w:themeColor="accent1"/>
              <w:bottom w:val="single" w:sz="12" w:space="0" w:color="3C5896" w:themeColor="accent1"/>
              <w:right w:val="single" w:sz="4" w:space="0" w:color="000000" w:themeColor="text1"/>
            </w:tcBorders>
          </w:tcPr>
          <w:p w14:paraId="5FCC275B" w14:textId="77777777" w:rsidR="00F5640B" w:rsidRPr="00631C1B" w:rsidRDefault="00F5640B" w:rsidP="009A3F2B"/>
        </w:tc>
        <w:tc>
          <w:tcPr>
            <w:tcW w:w="473"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360EBE4D" w14:textId="77777777" w:rsidR="00F5640B" w:rsidRPr="00631C1B" w:rsidRDefault="00F5640B" w:rsidP="009A3F2B">
            <w:pPr>
              <w:jc w:val="center"/>
              <w:rPr>
                <w:b/>
                <w:color w:val="3C5896"/>
                <w:sz w:val="18"/>
                <w:szCs w:val="18"/>
              </w:rPr>
            </w:pPr>
            <w:r w:rsidRPr="00631C1B">
              <w:rPr>
                <w:b/>
                <w:color w:val="3C5896"/>
                <w:sz w:val="18"/>
                <w:szCs w:val="18"/>
              </w:rPr>
              <w:t>Grant offer letter target</w:t>
            </w:r>
          </w:p>
        </w:tc>
        <w:tc>
          <w:tcPr>
            <w:tcW w:w="511"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6EA76D8E" w14:textId="77777777" w:rsidR="00F5640B" w:rsidRPr="00631C1B" w:rsidRDefault="00F5640B" w:rsidP="009A3F2B">
            <w:pPr>
              <w:jc w:val="center"/>
              <w:rPr>
                <w:b/>
                <w:color w:val="3C5896"/>
                <w:sz w:val="18"/>
                <w:szCs w:val="18"/>
              </w:rPr>
            </w:pPr>
            <w:r w:rsidRPr="00631C1B">
              <w:rPr>
                <w:b/>
                <w:color w:val="3C5896"/>
                <w:sz w:val="18"/>
                <w:szCs w:val="18"/>
              </w:rPr>
              <w:t>Actual</w:t>
            </w:r>
          </w:p>
        </w:tc>
        <w:tc>
          <w:tcPr>
            <w:tcW w:w="792"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2822DBC5" w14:textId="77777777" w:rsidR="00F5640B" w:rsidRPr="00631C1B" w:rsidRDefault="00F5640B" w:rsidP="009A3F2B">
            <w:pPr>
              <w:jc w:val="center"/>
              <w:rPr>
                <w:b/>
                <w:color w:val="3C5896"/>
                <w:sz w:val="18"/>
                <w:szCs w:val="18"/>
              </w:rPr>
            </w:pPr>
            <w:r w:rsidRPr="00631C1B">
              <w:rPr>
                <w:b/>
                <w:color w:val="3C5896"/>
                <w:sz w:val="18"/>
                <w:szCs w:val="18"/>
              </w:rPr>
              <w:t>Grant offer letter target</w:t>
            </w:r>
          </w:p>
        </w:tc>
        <w:tc>
          <w:tcPr>
            <w:tcW w:w="674"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5C55DFB8" w14:textId="77777777" w:rsidR="00F5640B" w:rsidRPr="00631C1B" w:rsidRDefault="00F5640B" w:rsidP="009A3F2B">
            <w:pPr>
              <w:jc w:val="center"/>
              <w:rPr>
                <w:b/>
                <w:color w:val="3C5896"/>
                <w:sz w:val="18"/>
                <w:szCs w:val="18"/>
              </w:rPr>
            </w:pPr>
            <w:r w:rsidRPr="00631C1B">
              <w:rPr>
                <w:b/>
                <w:color w:val="3C5896"/>
                <w:sz w:val="18"/>
                <w:szCs w:val="18"/>
              </w:rPr>
              <w:t>Actual</w:t>
            </w:r>
          </w:p>
        </w:tc>
        <w:tc>
          <w:tcPr>
            <w:tcW w:w="473"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657476CD" w14:textId="77777777" w:rsidR="00F5640B" w:rsidRPr="00631C1B" w:rsidRDefault="00F5640B" w:rsidP="009A3F2B">
            <w:pPr>
              <w:jc w:val="center"/>
              <w:rPr>
                <w:b/>
                <w:color w:val="3C5896"/>
                <w:sz w:val="18"/>
                <w:szCs w:val="18"/>
              </w:rPr>
            </w:pPr>
            <w:r w:rsidRPr="00631C1B">
              <w:rPr>
                <w:b/>
                <w:color w:val="3C5896"/>
                <w:sz w:val="18"/>
                <w:szCs w:val="18"/>
              </w:rPr>
              <w:t>Grant offer letter target</w:t>
            </w:r>
          </w:p>
        </w:tc>
        <w:tc>
          <w:tcPr>
            <w:tcW w:w="511"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3FFE71F6" w14:textId="77777777" w:rsidR="00F5640B" w:rsidRPr="00631C1B" w:rsidRDefault="00F5640B" w:rsidP="009A3F2B">
            <w:pPr>
              <w:jc w:val="center"/>
              <w:rPr>
                <w:b/>
                <w:color w:val="3C5896"/>
                <w:sz w:val="18"/>
                <w:szCs w:val="18"/>
              </w:rPr>
            </w:pPr>
            <w:r w:rsidRPr="00631C1B">
              <w:rPr>
                <w:b/>
                <w:color w:val="3C5896"/>
                <w:sz w:val="18"/>
                <w:szCs w:val="18"/>
              </w:rPr>
              <w:t>Actual</w:t>
            </w:r>
          </w:p>
        </w:tc>
        <w:tc>
          <w:tcPr>
            <w:tcW w:w="666" w:type="pct"/>
            <w:tcBorders>
              <w:top w:val="single" w:sz="12" w:space="0" w:color="3C5896" w:themeColor="accent1"/>
              <w:left w:val="single" w:sz="4" w:space="0" w:color="000000" w:themeColor="text1"/>
              <w:bottom w:val="single" w:sz="12" w:space="0" w:color="3C5896" w:themeColor="accent1"/>
            </w:tcBorders>
          </w:tcPr>
          <w:p w14:paraId="1F66BBE4" w14:textId="396834BD" w:rsidR="00F5640B" w:rsidRPr="00631C1B" w:rsidRDefault="00F5640B" w:rsidP="009A3F2B">
            <w:pPr>
              <w:jc w:val="center"/>
              <w:rPr>
                <w:b/>
                <w:color w:val="3C5896"/>
                <w:sz w:val="18"/>
                <w:szCs w:val="18"/>
              </w:rPr>
            </w:pPr>
            <w:r w:rsidRPr="00631C1B">
              <w:rPr>
                <w:b/>
                <w:color w:val="3C5896"/>
                <w:sz w:val="18"/>
                <w:szCs w:val="18"/>
              </w:rPr>
              <w:t>Variance</w:t>
            </w:r>
          </w:p>
        </w:tc>
      </w:tr>
      <w:tr w:rsidR="00040308" w:rsidRPr="00631C1B" w14:paraId="229C3BBD" w14:textId="77777777" w:rsidTr="00F5640B">
        <w:trPr>
          <w:trHeight w:val="703"/>
        </w:trPr>
        <w:tc>
          <w:tcPr>
            <w:tcW w:w="899" w:type="pct"/>
            <w:tcBorders>
              <w:top w:val="single" w:sz="12" w:space="0" w:color="3C5896" w:themeColor="accent1"/>
              <w:right w:val="single" w:sz="4" w:space="0" w:color="000000" w:themeColor="text1"/>
            </w:tcBorders>
          </w:tcPr>
          <w:p w14:paraId="0210B222" w14:textId="77777777" w:rsidR="00F5640B" w:rsidRPr="00631C1B" w:rsidRDefault="00F5640B" w:rsidP="00F5640B">
            <w:pPr>
              <w:rPr>
                <w:sz w:val="18"/>
                <w:szCs w:val="18"/>
              </w:rPr>
            </w:pPr>
            <w:r w:rsidRPr="00631C1B">
              <w:rPr>
                <w:sz w:val="18"/>
                <w:szCs w:val="18"/>
              </w:rPr>
              <w:t>Young people report increased aspirations</w:t>
            </w:r>
          </w:p>
        </w:tc>
        <w:tc>
          <w:tcPr>
            <w:tcW w:w="473" w:type="pct"/>
            <w:tcBorders>
              <w:top w:val="single" w:sz="12" w:space="0" w:color="3C5896" w:themeColor="accent1"/>
              <w:left w:val="single" w:sz="4" w:space="0" w:color="000000" w:themeColor="text1"/>
              <w:right w:val="single" w:sz="4" w:space="0" w:color="000000" w:themeColor="text1"/>
            </w:tcBorders>
          </w:tcPr>
          <w:p w14:paraId="558E6F15" w14:textId="44307422" w:rsidR="00F5640B" w:rsidRPr="00631C1B" w:rsidRDefault="00F5640B" w:rsidP="00F5640B">
            <w:pPr>
              <w:jc w:val="center"/>
              <w:rPr>
                <w:sz w:val="18"/>
                <w:szCs w:val="18"/>
              </w:rPr>
            </w:pPr>
            <w:r w:rsidRPr="00631C1B">
              <w:rPr>
                <w:sz w:val="18"/>
                <w:szCs w:val="18"/>
              </w:rPr>
              <w:t>2,129</w:t>
            </w:r>
          </w:p>
        </w:tc>
        <w:tc>
          <w:tcPr>
            <w:tcW w:w="511" w:type="pct"/>
            <w:tcBorders>
              <w:top w:val="single" w:sz="12" w:space="0" w:color="3C5896" w:themeColor="accent1"/>
              <w:left w:val="single" w:sz="4" w:space="0" w:color="000000" w:themeColor="text1"/>
              <w:right w:val="single" w:sz="4" w:space="0" w:color="000000" w:themeColor="text1"/>
            </w:tcBorders>
          </w:tcPr>
          <w:p w14:paraId="54486354" w14:textId="205D350A" w:rsidR="00F5640B" w:rsidRPr="00631C1B" w:rsidRDefault="00F5640B" w:rsidP="00F5640B">
            <w:pPr>
              <w:jc w:val="center"/>
              <w:rPr>
                <w:sz w:val="18"/>
                <w:szCs w:val="18"/>
              </w:rPr>
            </w:pPr>
            <w:r w:rsidRPr="00631C1B">
              <w:rPr>
                <w:sz w:val="18"/>
                <w:szCs w:val="18"/>
              </w:rPr>
              <w:t>2,107</w:t>
            </w:r>
          </w:p>
        </w:tc>
        <w:tc>
          <w:tcPr>
            <w:tcW w:w="792" w:type="pct"/>
            <w:tcBorders>
              <w:top w:val="single" w:sz="12" w:space="0" w:color="3C5896" w:themeColor="accent1"/>
              <w:left w:val="single" w:sz="4" w:space="0" w:color="000000" w:themeColor="text1"/>
              <w:right w:val="single" w:sz="4" w:space="0" w:color="000000" w:themeColor="text1"/>
            </w:tcBorders>
          </w:tcPr>
          <w:p w14:paraId="7817712B" w14:textId="2AEC2905" w:rsidR="00F5640B" w:rsidRPr="00631C1B" w:rsidRDefault="00F5640B" w:rsidP="00F5640B">
            <w:pPr>
              <w:jc w:val="center"/>
              <w:rPr>
                <w:sz w:val="18"/>
                <w:szCs w:val="18"/>
              </w:rPr>
            </w:pPr>
            <w:r w:rsidRPr="00631C1B">
              <w:rPr>
                <w:sz w:val="18"/>
                <w:szCs w:val="18"/>
              </w:rPr>
              <w:t>2,500</w:t>
            </w:r>
          </w:p>
        </w:tc>
        <w:tc>
          <w:tcPr>
            <w:tcW w:w="674" w:type="pct"/>
            <w:tcBorders>
              <w:top w:val="single" w:sz="12" w:space="0" w:color="3C5896" w:themeColor="accent1"/>
              <w:left w:val="single" w:sz="4" w:space="0" w:color="000000" w:themeColor="text1"/>
              <w:right w:val="single" w:sz="4" w:space="0" w:color="000000" w:themeColor="text1"/>
            </w:tcBorders>
          </w:tcPr>
          <w:p w14:paraId="365D6ECA" w14:textId="2FB01D01" w:rsidR="00F5640B" w:rsidRPr="00631C1B" w:rsidRDefault="00F5640B" w:rsidP="00F5640B">
            <w:pPr>
              <w:jc w:val="center"/>
              <w:rPr>
                <w:sz w:val="18"/>
                <w:szCs w:val="18"/>
              </w:rPr>
            </w:pPr>
            <w:r w:rsidRPr="00631C1B">
              <w:rPr>
                <w:sz w:val="18"/>
                <w:szCs w:val="18"/>
              </w:rPr>
              <w:t>1,663</w:t>
            </w:r>
          </w:p>
        </w:tc>
        <w:tc>
          <w:tcPr>
            <w:tcW w:w="473" w:type="pct"/>
            <w:tcBorders>
              <w:top w:val="single" w:sz="12" w:space="0" w:color="3C5896" w:themeColor="accent1"/>
              <w:left w:val="single" w:sz="4" w:space="0" w:color="000000" w:themeColor="text1"/>
              <w:right w:val="single" w:sz="4" w:space="0" w:color="000000" w:themeColor="text1"/>
            </w:tcBorders>
          </w:tcPr>
          <w:p w14:paraId="39701213" w14:textId="63E02AFE" w:rsidR="00F5640B" w:rsidRPr="00631C1B" w:rsidRDefault="00F5640B" w:rsidP="00F5640B">
            <w:pPr>
              <w:jc w:val="center"/>
              <w:rPr>
                <w:sz w:val="18"/>
                <w:szCs w:val="18"/>
              </w:rPr>
            </w:pPr>
            <w:r w:rsidRPr="00631C1B">
              <w:rPr>
                <w:sz w:val="18"/>
                <w:szCs w:val="18"/>
              </w:rPr>
              <w:t>4,629</w:t>
            </w:r>
          </w:p>
        </w:tc>
        <w:tc>
          <w:tcPr>
            <w:tcW w:w="511" w:type="pct"/>
            <w:tcBorders>
              <w:top w:val="single" w:sz="12" w:space="0" w:color="3C5896" w:themeColor="accent1"/>
              <w:left w:val="single" w:sz="4" w:space="0" w:color="000000" w:themeColor="text1"/>
              <w:right w:val="single" w:sz="4" w:space="0" w:color="000000" w:themeColor="text1"/>
            </w:tcBorders>
          </w:tcPr>
          <w:p w14:paraId="1B7242D0" w14:textId="4F79963A" w:rsidR="00F5640B" w:rsidRPr="00631C1B" w:rsidRDefault="00F5640B" w:rsidP="00F5640B">
            <w:pPr>
              <w:jc w:val="center"/>
              <w:rPr>
                <w:sz w:val="18"/>
                <w:szCs w:val="18"/>
              </w:rPr>
            </w:pPr>
            <w:r w:rsidRPr="00631C1B">
              <w:rPr>
                <w:sz w:val="18"/>
                <w:szCs w:val="18"/>
              </w:rPr>
              <w:t>3,770</w:t>
            </w:r>
          </w:p>
        </w:tc>
        <w:tc>
          <w:tcPr>
            <w:tcW w:w="666" w:type="pct"/>
            <w:tcBorders>
              <w:top w:val="single" w:sz="12" w:space="0" w:color="3C5896" w:themeColor="accent1"/>
              <w:left w:val="single" w:sz="4" w:space="0" w:color="000000" w:themeColor="text1"/>
            </w:tcBorders>
          </w:tcPr>
          <w:p w14:paraId="0979EC39" w14:textId="6819CE27" w:rsidR="00F5640B" w:rsidRPr="00631C1B" w:rsidRDefault="00F5640B" w:rsidP="00F5640B">
            <w:pPr>
              <w:jc w:val="center"/>
              <w:rPr>
                <w:sz w:val="18"/>
                <w:szCs w:val="18"/>
              </w:rPr>
            </w:pPr>
            <w:r w:rsidRPr="00631C1B">
              <w:rPr>
                <w:sz w:val="18"/>
                <w:szCs w:val="18"/>
              </w:rPr>
              <w:t>-859</w:t>
            </w:r>
          </w:p>
        </w:tc>
      </w:tr>
      <w:tr w:rsidR="00040308" w:rsidRPr="00631C1B" w14:paraId="2158FAC9" w14:textId="77777777" w:rsidTr="00F5640B">
        <w:trPr>
          <w:trHeight w:val="977"/>
        </w:trPr>
        <w:tc>
          <w:tcPr>
            <w:tcW w:w="899" w:type="pct"/>
            <w:tcBorders>
              <w:right w:val="single" w:sz="4" w:space="0" w:color="000000" w:themeColor="text1"/>
            </w:tcBorders>
          </w:tcPr>
          <w:p w14:paraId="5EAC7CB4" w14:textId="77777777" w:rsidR="00F5640B" w:rsidRPr="00631C1B" w:rsidRDefault="00F5640B" w:rsidP="00F5640B">
            <w:pPr>
              <w:rPr>
                <w:sz w:val="18"/>
                <w:szCs w:val="18"/>
              </w:rPr>
            </w:pPr>
            <w:r w:rsidRPr="00631C1B">
              <w:rPr>
                <w:sz w:val="18"/>
                <w:szCs w:val="18"/>
              </w:rPr>
              <w:t>Young people report positive changes in their behaviour</w:t>
            </w:r>
          </w:p>
        </w:tc>
        <w:tc>
          <w:tcPr>
            <w:tcW w:w="473" w:type="pct"/>
            <w:tcBorders>
              <w:left w:val="single" w:sz="4" w:space="0" w:color="000000" w:themeColor="text1"/>
              <w:right w:val="single" w:sz="4" w:space="0" w:color="000000" w:themeColor="text1"/>
            </w:tcBorders>
          </w:tcPr>
          <w:p w14:paraId="1A38E454" w14:textId="4B4A97DA" w:rsidR="00F5640B" w:rsidRPr="00631C1B" w:rsidRDefault="00F5640B" w:rsidP="00F5640B">
            <w:pPr>
              <w:jc w:val="center"/>
              <w:rPr>
                <w:sz w:val="18"/>
                <w:szCs w:val="18"/>
              </w:rPr>
            </w:pPr>
            <w:r w:rsidRPr="00631C1B">
              <w:rPr>
                <w:sz w:val="18"/>
                <w:szCs w:val="18"/>
              </w:rPr>
              <w:t>2,258</w:t>
            </w:r>
          </w:p>
        </w:tc>
        <w:tc>
          <w:tcPr>
            <w:tcW w:w="511" w:type="pct"/>
            <w:tcBorders>
              <w:left w:val="single" w:sz="4" w:space="0" w:color="000000" w:themeColor="text1"/>
              <w:right w:val="single" w:sz="4" w:space="0" w:color="000000" w:themeColor="text1"/>
            </w:tcBorders>
          </w:tcPr>
          <w:p w14:paraId="139C2350" w14:textId="5BA239A7" w:rsidR="00F5640B" w:rsidRPr="00631C1B" w:rsidRDefault="00F5640B" w:rsidP="00F5640B">
            <w:pPr>
              <w:jc w:val="center"/>
              <w:rPr>
                <w:sz w:val="18"/>
                <w:szCs w:val="18"/>
              </w:rPr>
            </w:pPr>
            <w:r w:rsidRPr="00631C1B">
              <w:rPr>
                <w:sz w:val="18"/>
                <w:szCs w:val="18"/>
              </w:rPr>
              <w:t>1,762</w:t>
            </w:r>
          </w:p>
        </w:tc>
        <w:tc>
          <w:tcPr>
            <w:tcW w:w="792" w:type="pct"/>
            <w:tcBorders>
              <w:left w:val="single" w:sz="4" w:space="0" w:color="000000" w:themeColor="text1"/>
              <w:right w:val="single" w:sz="4" w:space="0" w:color="000000" w:themeColor="text1"/>
            </w:tcBorders>
          </w:tcPr>
          <w:p w14:paraId="680381C3" w14:textId="3D89DB93" w:rsidR="00F5640B" w:rsidRPr="00631C1B" w:rsidRDefault="00F5640B" w:rsidP="00F5640B">
            <w:pPr>
              <w:jc w:val="center"/>
              <w:rPr>
                <w:sz w:val="18"/>
                <w:szCs w:val="18"/>
              </w:rPr>
            </w:pPr>
            <w:r w:rsidRPr="00631C1B">
              <w:rPr>
                <w:sz w:val="18"/>
                <w:szCs w:val="18"/>
              </w:rPr>
              <w:t>2,500</w:t>
            </w:r>
          </w:p>
        </w:tc>
        <w:tc>
          <w:tcPr>
            <w:tcW w:w="674" w:type="pct"/>
            <w:tcBorders>
              <w:left w:val="single" w:sz="4" w:space="0" w:color="000000" w:themeColor="text1"/>
              <w:right w:val="single" w:sz="4" w:space="0" w:color="000000" w:themeColor="text1"/>
            </w:tcBorders>
          </w:tcPr>
          <w:p w14:paraId="6995FD8A" w14:textId="77CEA581" w:rsidR="00F5640B" w:rsidRPr="00631C1B" w:rsidRDefault="00F5640B" w:rsidP="00F5640B">
            <w:pPr>
              <w:jc w:val="center"/>
              <w:rPr>
                <w:sz w:val="18"/>
                <w:szCs w:val="18"/>
              </w:rPr>
            </w:pPr>
            <w:r w:rsidRPr="00631C1B">
              <w:rPr>
                <w:sz w:val="18"/>
                <w:szCs w:val="18"/>
              </w:rPr>
              <w:t>1,346</w:t>
            </w:r>
          </w:p>
        </w:tc>
        <w:tc>
          <w:tcPr>
            <w:tcW w:w="473" w:type="pct"/>
            <w:tcBorders>
              <w:left w:val="single" w:sz="4" w:space="0" w:color="000000" w:themeColor="text1"/>
              <w:right w:val="single" w:sz="4" w:space="0" w:color="000000" w:themeColor="text1"/>
            </w:tcBorders>
          </w:tcPr>
          <w:p w14:paraId="3A2C7FF5" w14:textId="17AE1B46" w:rsidR="00F5640B" w:rsidRPr="00631C1B" w:rsidRDefault="00F5640B" w:rsidP="00F5640B">
            <w:pPr>
              <w:jc w:val="center"/>
              <w:rPr>
                <w:sz w:val="18"/>
                <w:szCs w:val="18"/>
              </w:rPr>
            </w:pPr>
            <w:r w:rsidRPr="00631C1B">
              <w:rPr>
                <w:sz w:val="18"/>
                <w:szCs w:val="18"/>
              </w:rPr>
              <w:t>4,758</w:t>
            </w:r>
          </w:p>
        </w:tc>
        <w:tc>
          <w:tcPr>
            <w:tcW w:w="511" w:type="pct"/>
            <w:tcBorders>
              <w:left w:val="single" w:sz="4" w:space="0" w:color="000000" w:themeColor="text1"/>
              <w:right w:val="single" w:sz="4" w:space="0" w:color="000000" w:themeColor="text1"/>
            </w:tcBorders>
          </w:tcPr>
          <w:p w14:paraId="5835B843" w14:textId="2C806062" w:rsidR="00F5640B" w:rsidRPr="00631C1B" w:rsidRDefault="00F5640B" w:rsidP="00F5640B">
            <w:pPr>
              <w:jc w:val="center"/>
              <w:rPr>
                <w:sz w:val="18"/>
                <w:szCs w:val="18"/>
              </w:rPr>
            </w:pPr>
            <w:r w:rsidRPr="00631C1B">
              <w:rPr>
                <w:sz w:val="18"/>
                <w:szCs w:val="18"/>
              </w:rPr>
              <w:t>3,108</w:t>
            </w:r>
          </w:p>
        </w:tc>
        <w:tc>
          <w:tcPr>
            <w:tcW w:w="666" w:type="pct"/>
            <w:tcBorders>
              <w:left w:val="single" w:sz="4" w:space="0" w:color="000000" w:themeColor="text1"/>
            </w:tcBorders>
          </w:tcPr>
          <w:p w14:paraId="1FEACF83" w14:textId="41069246" w:rsidR="00F5640B" w:rsidRPr="00631C1B" w:rsidRDefault="00F5640B" w:rsidP="00F5640B">
            <w:pPr>
              <w:jc w:val="center"/>
              <w:rPr>
                <w:sz w:val="18"/>
                <w:szCs w:val="18"/>
              </w:rPr>
            </w:pPr>
            <w:r w:rsidRPr="00631C1B">
              <w:rPr>
                <w:sz w:val="18"/>
                <w:szCs w:val="18"/>
              </w:rPr>
              <w:t>-1,650</w:t>
            </w:r>
          </w:p>
        </w:tc>
      </w:tr>
      <w:tr w:rsidR="00040308" w:rsidRPr="00631C1B" w14:paraId="04CE8BF5" w14:textId="77777777" w:rsidTr="00F5640B">
        <w:trPr>
          <w:trHeight w:val="977"/>
        </w:trPr>
        <w:tc>
          <w:tcPr>
            <w:tcW w:w="899" w:type="pct"/>
            <w:tcBorders>
              <w:bottom w:val="nil"/>
              <w:right w:val="single" w:sz="4" w:space="0" w:color="000000" w:themeColor="text1"/>
            </w:tcBorders>
          </w:tcPr>
          <w:p w14:paraId="6D99ACCF" w14:textId="77777777" w:rsidR="00F5640B" w:rsidRPr="00631C1B" w:rsidRDefault="00F5640B" w:rsidP="009A3F2B">
            <w:pPr>
              <w:rPr>
                <w:sz w:val="18"/>
                <w:szCs w:val="18"/>
              </w:rPr>
            </w:pPr>
            <w:r w:rsidRPr="00631C1B">
              <w:rPr>
                <w:sz w:val="18"/>
                <w:szCs w:val="18"/>
              </w:rPr>
              <w:t>Stakeholders report on perceived increased aspirations in young people</w:t>
            </w:r>
          </w:p>
        </w:tc>
        <w:tc>
          <w:tcPr>
            <w:tcW w:w="473" w:type="pct"/>
            <w:tcBorders>
              <w:left w:val="single" w:sz="4" w:space="0" w:color="000000" w:themeColor="text1"/>
              <w:bottom w:val="nil"/>
              <w:right w:val="single" w:sz="4" w:space="0" w:color="000000" w:themeColor="text1"/>
            </w:tcBorders>
          </w:tcPr>
          <w:p w14:paraId="3B877F74" w14:textId="4048547F" w:rsidR="00F5640B" w:rsidRPr="00631C1B" w:rsidRDefault="00F5640B" w:rsidP="009A3F2B">
            <w:pPr>
              <w:jc w:val="center"/>
              <w:rPr>
                <w:sz w:val="18"/>
                <w:szCs w:val="18"/>
              </w:rPr>
            </w:pPr>
            <w:r w:rsidRPr="00631C1B">
              <w:rPr>
                <w:sz w:val="18"/>
                <w:szCs w:val="18"/>
              </w:rPr>
              <w:t>75%</w:t>
            </w:r>
          </w:p>
        </w:tc>
        <w:tc>
          <w:tcPr>
            <w:tcW w:w="511" w:type="pct"/>
            <w:tcBorders>
              <w:left w:val="single" w:sz="4" w:space="0" w:color="000000" w:themeColor="text1"/>
              <w:bottom w:val="nil"/>
              <w:right w:val="single" w:sz="4" w:space="0" w:color="000000" w:themeColor="text1"/>
            </w:tcBorders>
          </w:tcPr>
          <w:p w14:paraId="58316187" w14:textId="33356A7F" w:rsidR="00F5640B" w:rsidRPr="00631C1B" w:rsidRDefault="00040308" w:rsidP="009A3F2B">
            <w:pPr>
              <w:jc w:val="center"/>
              <w:rPr>
                <w:sz w:val="18"/>
                <w:szCs w:val="18"/>
              </w:rPr>
            </w:pPr>
            <w:r w:rsidRPr="00631C1B">
              <w:rPr>
                <w:sz w:val="18"/>
                <w:szCs w:val="18"/>
              </w:rPr>
              <w:t>100%</w:t>
            </w:r>
          </w:p>
        </w:tc>
        <w:tc>
          <w:tcPr>
            <w:tcW w:w="792" w:type="pct"/>
            <w:tcBorders>
              <w:left w:val="single" w:sz="4" w:space="0" w:color="000000" w:themeColor="text1"/>
              <w:bottom w:val="nil"/>
              <w:right w:val="single" w:sz="4" w:space="0" w:color="000000" w:themeColor="text1"/>
            </w:tcBorders>
          </w:tcPr>
          <w:p w14:paraId="79775075" w14:textId="1E69220F" w:rsidR="00F5640B" w:rsidRPr="00631C1B" w:rsidRDefault="00F5640B" w:rsidP="009A3F2B">
            <w:pPr>
              <w:jc w:val="center"/>
              <w:rPr>
                <w:sz w:val="18"/>
                <w:szCs w:val="18"/>
              </w:rPr>
            </w:pPr>
            <w:r w:rsidRPr="00631C1B">
              <w:rPr>
                <w:sz w:val="18"/>
                <w:szCs w:val="18"/>
              </w:rPr>
              <w:t>75%</w:t>
            </w:r>
          </w:p>
        </w:tc>
        <w:tc>
          <w:tcPr>
            <w:tcW w:w="674" w:type="pct"/>
            <w:tcBorders>
              <w:left w:val="single" w:sz="4" w:space="0" w:color="000000" w:themeColor="text1"/>
              <w:bottom w:val="nil"/>
              <w:right w:val="single" w:sz="4" w:space="0" w:color="000000" w:themeColor="text1"/>
            </w:tcBorders>
          </w:tcPr>
          <w:p w14:paraId="71567F3A" w14:textId="2FC19D58" w:rsidR="00F5640B" w:rsidRPr="00631C1B" w:rsidRDefault="00040308" w:rsidP="009A3F2B">
            <w:pPr>
              <w:jc w:val="center"/>
              <w:rPr>
                <w:sz w:val="18"/>
                <w:szCs w:val="18"/>
              </w:rPr>
            </w:pPr>
            <w:r w:rsidRPr="00631C1B">
              <w:rPr>
                <w:sz w:val="18"/>
                <w:szCs w:val="18"/>
              </w:rPr>
              <w:t>N/A</w:t>
            </w:r>
          </w:p>
        </w:tc>
        <w:tc>
          <w:tcPr>
            <w:tcW w:w="473" w:type="pct"/>
            <w:tcBorders>
              <w:left w:val="single" w:sz="4" w:space="0" w:color="000000" w:themeColor="text1"/>
              <w:bottom w:val="nil"/>
              <w:right w:val="single" w:sz="4" w:space="0" w:color="000000" w:themeColor="text1"/>
            </w:tcBorders>
          </w:tcPr>
          <w:p w14:paraId="1E5BD579" w14:textId="717C1118" w:rsidR="00F5640B" w:rsidRPr="00631C1B" w:rsidRDefault="00F5640B" w:rsidP="009A3F2B">
            <w:pPr>
              <w:jc w:val="center"/>
              <w:rPr>
                <w:sz w:val="18"/>
                <w:szCs w:val="18"/>
              </w:rPr>
            </w:pPr>
            <w:r w:rsidRPr="00631C1B">
              <w:rPr>
                <w:sz w:val="18"/>
                <w:szCs w:val="18"/>
              </w:rPr>
              <w:t>75%</w:t>
            </w:r>
          </w:p>
        </w:tc>
        <w:tc>
          <w:tcPr>
            <w:tcW w:w="511" w:type="pct"/>
            <w:tcBorders>
              <w:left w:val="single" w:sz="4" w:space="0" w:color="000000" w:themeColor="text1"/>
              <w:bottom w:val="nil"/>
              <w:right w:val="single" w:sz="4" w:space="0" w:color="000000" w:themeColor="text1"/>
            </w:tcBorders>
          </w:tcPr>
          <w:p w14:paraId="4419511B" w14:textId="26440AC1" w:rsidR="00F5640B" w:rsidRPr="00631C1B" w:rsidRDefault="00040308" w:rsidP="009A3F2B">
            <w:pPr>
              <w:jc w:val="center"/>
              <w:rPr>
                <w:sz w:val="18"/>
                <w:szCs w:val="18"/>
              </w:rPr>
            </w:pPr>
            <w:r w:rsidRPr="00631C1B">
              <w:rPr>
                <w:sz w:val="18"/>
                <w:szCs w:val="18"/>
              </w:rPr>
              <w:t>100%</w:t>
            </w:r>
          </w:p>
        </w:tc>
        <w:tc>
          <w:tcPr>
            <w:tcW w:w="666" w:type="pct"/>
            <w:tcBorders>
              <w:left w:val="single" w:sz="4" w:space="0" w:color="000000" w:themeColor="text1"/>
            </w:tcBorders>
          </w:tcPr>
          <w:p w14:paraId="1A4963F5" w14:textId="52578F3C" w:rsidR="00F5640B" w:rsidRPr="00631C1B" w:rsidRDefault="00040308" w:rsidP="009A3F2B">
            <w:pPr>
              <w:jc w:val="center"/>
              <w:rPr>
                <w:sz w:val="18"/>
                <w:szCs w:val="18"/>
              </w:rPr>
            </w:pPr>
            <w:r w:rsidRPr="00631C1B">
              <w:rPr>
                <w:sz w:val="18"/>
                <w:szCs w:val="18"/>
              </w:rPr>
              <w:t>+25%</w:t>
            </w:r>
          </w:p>
        </w:tc>
      </w:tr>
    </w:tbl>
    <w:p w14:paraId="02DBE7AF" w14:textId="6AE3F81C" w:rsidR="00AC4A62" w:rsidRPr="00631C1B" w:rsidRDefault="00AC4A62" w:rsidP="00AC4A62">
      <w:pPr>
        <w:pStyle w:val="Source"/>
      </w:pPr>
      <w:r w:rsidRPr="00631C1B">
        <w:t>Source: Creative Scotland / BOP Consulting (20</w:t>
      </w:r>
      <w:r w:rsidR="00AA5D6B" w:rsidRPr="00631C1B">
        <w:t>20</w:t>
      </w:r>
      <w:r w:rsidRPr="00631C1B">
        <w:t>)</w:t>
      </w:r>
    </w:p>
    <w:p w14:paraId="34240AA9" w14:textId="77777777" w:rsidR="00E2532B" w:rsidRPr="00631C1B" w:rsidRDefault="00E2532B" w:rsidP="00E2532B"/>
    <w:p w14:paraId="59257964" w14:textId="77777777" w:rsidR="00DC56C1" w:rsidRPr="00631C1B" w:rsidRDefault="00DC56C1" w:rsidP="00E2532B"/>
    <w:p w14:paraId="07DCE977" w14:textId="77777777" w:rsidR="00DC56C1" w:rsidRPr="00631C1B" w:rsidRDefault="00DC56C1" w:rsidP="00E2532B"/>
    <w:p w14:paraId="344DCDDA" w14:textId="77777777" w:rsidR="00DC56C1" w:rsidRPr="00631C1B" w:rsidRDefault="00DC56C1" w:rsidP="00E2532B"/>
    <w:p w14:paraId="380B6BF4" w14:textId="77777777" w:rsidR="00DC56C1" w:rsidRPr="00631C1B" w:rsidRDefault="00DC56C1" w:rsidP="00E2532B"/>
    <w:p w14:paraId="21492286" w14:textId="77777777" w:rsidR="00DC56C1" w:rsidRPr="00631C1B" w:rsidRDefault="00DC56C1" w:rsidP="00E2532B"/>
    <w:p w14:paraId="1C575BF4" w14:textId="77777777" w:rsidR="00DC56C1" w:rsidRPr="00631C1B" w:rsidRDefault="00DC56C1" w:rsidP="00E2532B"/>
    <w:p w14:paraId="5EEA604F" w14:textId="77777777" w:rsidR="00DC56C1" w:rsidRPr="00631C1B" w:rsidRDefault="00DC56C1" w:rsidP="00E2532B"/>
    <w:p w14:paraId="620813E8" w14:textId="06F9A4AF" w:rsidR="00AC4A62" w:rsidRPr="00631C1B" w:rsidRDefault="00AC4A62" w:rsidP="00AC4A62">
      <w:pPr>
        <w:pStyle w:val="Caption"/>
      </w:pPr>
      <w:bookmarkStart w:id="35" w:name="_Toc42266747"/>
      <w:r w:rsidRPr="00631C1B">
        <w:lastRenderedPageBreak/>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12</w:t>
      </w:r>
      <w:r w:rsidRPr="00631C1B">
        <w:rPr>
          <w:noProof/>
        </w:rPr>
        <w:fldChar w:fldCharType="end"/>
      </w:r>
      <w:r w:rsidRPr="00631C1B">
        <w:t xml:space="preserve">  Progress towards targets having positive change on behaviour and aspiration – based on grant offer letter – All years</w:t>
      </w:r>
      <w:bookmarkEnd w:id="35"/>
    </w:p>
    <w:tbl>
      <w:tblPr>
        <w:tblStyle w:val="BOPtable"/>
        <w:tblW w:w="5083" w:type="pct"/>
        <w:tblLayout w:type="fixed"/>
        <w:tblLook w:val="04A0" w:firstRow="1" w:lastRow="0" w:firstColumn="1" w:lastColumn="0" w:noHBand="0" w:noVBand="1"/>
      </w:tblPr>
      <w:tblGrid>
        <w:gridCol w:w="1227"/>
        <w:gridCol w:w="651"/>
        <w:gridCol w:w="713"/>
        <w:gridCol w:w="1087"/>
        <w:gridCol w:w="897"/>
        <w:gridCol w:w="866"/>
        <w:gridCol w:w="715"/>
        <w:gridCol w:w="128"/>
        <w:gridCol w:w="935"/>
      </w:tblGrid>
      <w:tr w:rsidR="00040308" w:rsidRPr="00631C1B" w14:paraId="4EEA1C77" w14:textId="77777777" w:rsidTr="00040308">
        <w:trPr>
          <w:cnfStyle w:val="100000000000" w:firstRow="1" w:lastRow="0" w:firstColumn="0" w:lastColumn="0" w:oddVBand="0" w:evenVBand="0" w:oddHBand="0" w:evenHBand="0" w:firstRowFirstColumn="0" w:firstRowLastColumn="0" w:lastRowFirstColumn="0" w:lastRowLastColumn="0"/>
          <w:trHeight w:val="284"/>
        </w:trPr>
        <w:tc>
          <w:tcPr>
            <w:tcW w:w="851" w:type="pct"/>
            <w:tcBorders>
              <w:right w:val="single" w:sz="4" w:space="0" w:color="000000" w:themeColor="text1"/>
            </w:tcBorders>
          </w:tcPr>
          <w:p w14:paraId="6AF0A1BE" w14:textId="77777777" w:rsidR="00AC4A62" w:rsidRPr="00631C1B" w:rsidRDefault="00AC4A62" w:rsidP="009A3F2B"/>
        </w:tc>
        <w:tc>
          <w:tcPr>
            <w:tcW w:w="947" w:type="pct"/>
            <w:gridSpan w:val="2"/>
            <w:tcBorders>
              <w:left w:val="single" w:sz="4" w:space="0" w:color="000000" w:themeColor="text1"/>
              <w:right w:val="single" w:sz="4" w:space="0" w:color="000000" w:themeColor="text1"/>
            </w:tcBorders>
          </w:tcPr>
          <w:p w14:paraId="2C79D688" w14:textId="77777777" w:rsidR="00AC4A62" w:rsidRPr="00631C1B" w:rsidRDefault="00AC4A62" w:rsidP="009A3F2B">
            <w:pPr>
              <w:jc w:val="center"/>
            </w:pPr>
            <w:r w:rsidRPr="00631C1B">
              <w:t>Targeted Fund</w:t>
            </w:r>
          </w:p>
        </w:tc>
        <w:tc>
          <w:tcPr>
            <w:tcW w:w="1377" w:type="pct"/>
            <w:gridSpan w:val="2"/>
            <w:tcBorders>
              <w:left w:val="single" w:sz="4" w:space="0" w:color="000000" w:themeColor="text1"/>
              <w:right w:val="single" w:sz="4" w:space="0" w:color="000000" w:themeColor="text1"/>
            </w:tcBorders>
          </w:tcPr>
          <w:p w14:paraId="5927F772" w14:textId="77777777" w:rsidR="00AC4A62" w:rsidRPr="00631C1B" w:rsidRDefault="00AC4A62" w:rsidP="009A3F2B">
            <w:pPr>
              <w:jc w:val="center"/>
            </w:pPr>
            <w:r w:rsidRPr="00631C1B">
              <w:t>Open Fund</w:t>
            </w:r>
          </w:p>
        </w:tc>
        <w:tc>
          <w:tcPr>
            <w:tcW w:w="1097" w:type="pct"/>
            <w:gridSpan w:val="2"/>
            <w:tcBorders>
              <w:left w:val="single" w:sz="4" w:space="0" w:color="000000" w:themeColor="text1"/>
              <w:right w:val="single" w:sz="4" w:space="0" w:color="000000" w:themeColor="text1"/>
            </w:tcBorders>
          </w:tcPr>
          <w:p w14:paraId="6D4CBAA9" w14:textId="77777777" w:rsidR="00AC4A62" w:rsidRPr="00631C1B" w:rsidRDefault="00AC4A62" w:rsidP="009A3F2B">
            <w:pPr>
              <w:jc w:val="center"/>
              <w:rPr>
                <w:b w:val="0"/>
              </w:rPr>
            </w:pPr>
            <w:r w:rsidRPr="00631C1B">
              <w:t>Programme</w:t>
            </w:r>
          </w:p>
          <w:p w14:paraId="33A1D4F7" w14:textId="77777777" w:rsidR="00AC4A62" w:rsidRPr="00631C1B" w:rsidRDefault="00AC4A62" w:rsidP="009A3F2B">
            <w:pPr>
              <w:jc w:val="center"/>
            </w:pPr>
            <w:r w:rsidRPr="00631C1B">
              <w:t>Total</w:t>
            </w:r>
          </w:p>
        </w:tc>
        <w:tc>
          <w:tcPr>
            <w:tcW w:w="79" w:type="pct"/>
            <w:tcBorders>
              <w:left w:val="single" w:sz="4" w:space="0" w:color="000000" w:themeColor="text1"/>
            </w:tcBorders>
          </w:tcPr>
          <w:p w14:paraId="6273CD0A" w14:textId="77777777" w:rsidR="00AC4A62" w:rsidRPr="00631C1B" w:rsidRDefault="00AC4A62" w:rsidP="009A3F2B">
            <w:pPr>
              <w:jc w:val="center"/>
            </w:pPr>
          </w:p>
        </w:tc>
        <w:tc>
          <w:tcPr>
            <w:tcW w:w="648" w:type="pct"/>
          </w:tcPr>
          <w:p w14:paraId="0F8DD326" w14:textId="77777777" w:rsidR="00AC4A62" w:rsidRPr="00631C1B" w:rsidRDefault="00AC4A62" w:rsidP="009A3F2B">
            <w:pPr>
              <w:jc w:val="center"/>
            </w:pPr>
          </w:p>
        </w:tc>
      </w:tr>
      <w:tr w:rsidR="00040308" w:rsidRPr="00631C1B" w14:paraId="2D400BFA" w14:textId="77777777" w:rsidTr="00040308">
        <w:trPr>
          <w:trHeight w:val="579"/>
        </w:trPr>
        <w:tc>
          <w:tcPr>
            <w:tcW w:w="851" w:type="pct"/>
            <w:tcBorders>
              <w:top w:val="single" w:sz="12" w:space="0" w:color="3C5896" w:themeColor="accent1"/>
              <w:bottom w:val="single" w:sz="12" w:space="0" w:color="3C5896" w:themeColor="accent1"/>
              <w:right w:val="single" w:sz="4" w:space="0" w:color="000000" w:themeColor="text1"/>
            </w:tcBorders>
          </w:tcPr>
          <w:p w14:paraId="0652DBE6" w14:textId="77777777" w:rsidR="00AC4A62" w:rsidRPr="00631C1B" w:rsidRDefault="00AC4A62" w:rsidP="009A3F2B"/>
        </w:tc>
        <w:tc>
          <w:tcPr>
            <w:tcW w:w="452"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33CAB1CA" w14:textId="77777777" w:rsidR="00AC4A62" w:rsidRPr="00631C1B" w:rsidRDefault="00AC4A62" w:rsidP="009A3F2B">
            <w:pPr>
              <w:jc w:val="center"/>
              <w:rPr>
                <w:b/>
                <w:color w:val="3C5896"/>
                <w:sz w:val="18"/>
                <w:szCs w:val="18"/>
              </w:rPr>
            </w:pPr>
            <w:r w:rsidRPr="00631C1B">
              <w:rPr>
                <w:b/>
                <w:color w:val="3C5896"/>
                <w:sz w:val="18"/>
                <w:szCs w:val="18"/>
              </w:rPr>
              <w:t>Grant offer letter target</w:t>
            </w:r>
          </w:p>
        </w:tc>
        <w:tc>
          <w:tcPr>
            <w:tcW w:w="495"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021364CF" w14:textId="77777777" w:rsidR="00AC4A62" w:rsidRPr="00631C1B" w:rsidRDefault="00AC4A62" w:rsidP="009A3F2B">
            <w:pPr>
              <w:jc w:val="center"/>
              <w:rPr>
                <w:b/>
                <w:color w:val="3C5896"/>
                <w:sz w:val="18"/>
                <w:szCs w:val="18"/>
              </w:rPr>
            </w:pPr>
            <w:r w:rsidRPr="00631C1B">
              <w:rPr>
                <w:b/>
                <w:color w:val="3C5896"/>
                <w:sz w:val="18"/>
                <w:szCs w:val="18"/>
              </w:rPr>
              <w:t>Actual</w:t>
            </w:r>
          </w:p>
        </w:tc>
        <w:tc>
          <w:tcPr>
            <w:tcW w:w="754"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3D0F052F" w14:textId="77777777" w:rsidR="00AC4A62" w:rsidRPr="00631C1B" w:rsidRDefault="00AC4A62" w:rsidP="009A3F2B">
            <w:pPr>
              <w:jc w:val="center"/>
              <w:rPr>
                <w:b/>
                <w:color w:val="3C5896"/>
                <w:sz w:val="18"/>
                <w:szCs w:val="18"/>
              </w:rPr>
            </w:pPr>
            <w:r w:rsidRPr="00631C1B">
              <w:rPr>
                <w:b/>
                <w:color w:val="3C5896"/>
                <w:sz w:val="18"/>
                <w:szCs w:val="18"/>
              </w:rPr>
              <w:t>Grant offer letter target</w:t>
            </w:r>
          </w:p>
        </w:tc>
        <w:tc>
          <w:tcPr>
            <w:tcW w:w="623"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0446A775" w14:textId="77777777" w:rsidR="00AC4A62" w:rsidRPr="00631C1B" w:rsidRDefault="00AC4A62" w:rsidP="009A3F2B">
            <w:pPr>
              <w:jc w:val="center"/>
              <w:rPr>
                <w:b/>
                <w:color w:val="3C5896"/>
                <w:sz w:val="18"/>
                <w:szCs w:val="18"/>
              </w:rPr>
            </w:pPr>
            <w:r w:rsidRPr="00631C1B">
              <w:rPr>
                <w:b/>
                <w:color w:val="3C5896"/>
                <w:sz w:val="18"/>
                <w:szCs w:val="18"/>
              </w:rPr>
              <w:t>Actual</w:t>
            </w:r>
          </w:p>
        </w:tc>
        <w:tc>
          <w:tcPr>
            <w:tcW w:w="601"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2592F3A5" w14:textId="77777777" w:rsidR="00AC4A62" w:rsidRPr="00631C1B" w:rsidRDefault="00AC4A62" w:rsidP="009A3F2B">
            <w:pPr>
              <w:jc w:val="center"/>
              <w:rPr>
                <w:b/>
                <w:color w:val="3C5896"/>
                <w:sz w:val="18"/>
                <w:szCs w:val="18"/>
              </w:rPr>
            </w:pPr>
            <w:r w:rsidRPr="00631C1B">
              <w:rPr>
                <w:b/>
                <w:color w:val="3C5896"/>
                <w:sz w:val="18"/>
                <w:szCs w:val="18"/>
              </w:rPr>
              <w:t>Grant offer letter target</w:t>
            </w:r>
          </w:p>
        </w:tc>
        <w:tc>
          <w:tcPr>
            <w:tcW w:w="496" w:type="pct"/>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1199C701" w14:textId="77777777" w:rsidR="00AC4A62" w:rsidRPr="00631C1B" w:rsidRDefault="00AC4A62" w:rsidP="009A3F2B">
            <w:pPr>
              <w:jc w:val="center"/>
              <w:rPr>
                <w:b/>
                <w:color w:val="3C5896"/>
                <w:sz w:val="18"/>
                <w:szCs w:val="18"/>
              </w:rPr>
            </w:pPr>
            <w:r w:rsidRPr="00631C1B">
              <w:rPr>
                <w:b/>
                <w:color w:val="3C5896"/>
                <w:sz w:val="18"/>
                <w:szCs w:val="18"/>
              </w:rPr>
              <w:t>Actual</w:t>
            </w:r>
          </w:p>
        </w:tc>
        <w:tc>
          <w:tcPr>
            <w:tcW w:w="79" w:type="pct"/>
            <w:tcBorders>
              <w:top w:val="single" w:sz="12" w:space="0" w:color="3C5896" w:themeColor="accent1"/>
              <w:left w:val="single" w:sz="4" w:space="0" w:color="000000" w:themeColor="text1"/>
              <w:bottom w:val="single" w:sz="12" w:space="0" w:color="3C5896" w:themeColor="accent1"/>
            </w:tcBorders>
          </w:tcPr>
          <w:p w14:paraId="53741E78" w14:textId="77777777" w:rsidR="00AC4A62" w:rsidRPr="00631C1B" w:rsidRDefault="00AC4A62" w:rsidP="009A3F2B">
            <w:pPr>
              <w:jc w:val="center"/>
              <w:rPr>
                <w:b/>
                <w:color w:val="3C5896"/>
                <w:sz w:val="18"/>
                <w:szCs w:val="18"/>
              </w:rPr>
            </w:pPr>
          </w:p>
        </w:tc>
        <w:tc>
          <w:tcPr>
            <w:tcW w:w="648" w:type="pct"/>
            <w:tcBorders>
              <w:top w:val="single" w:sz="12" w:space="0" w:color="3C5896" w:themeColor="accent1"/>
              <w:bottom w:val="single" w:sz="12" w:space="0" w:color="3C5896" w:themeColor="accent1"/>
            </w:tcBorders>
          </w:tcPr>
          <w:p w14:paraId="28C1C8C6" w14:textId="77777777" w:rsidR="00AC4A62" w:rsidRPr="00631C1B" w:rsidRDefault="00AC4A62" w:rsidP="009A3F2B">
            <w:pPr>
              <w:jc w:val="center"/>
              <w:rPr>
                <w:b/>
                <w:color w:val="3C5896"/>
                <w:sz w:val="18"/>
                <w:szCs w:val="18"/>
              </w:rPr>
            </w:pPr>
            <w:r w:rsidRPr="00631C1B">
              <w:rPr>
                <w:b/>
                <w:color w:val="3C5896"/>
                <w:sz w:val="18"/>
                <w:szCs w:val="18"/>
              </w:rPr>
              <w:t>Variance</w:t>
            </w:r>
          </w:p>
        </w:tc>
      </w:tr>
      <w:tr w:rsidR="00040308" w:rsidRPr="00631C1B" w14:paraId="3C79E8B6" w14:textId="77777777" w:rsidTr="00040308">
        <w:trPr>
          <w:trHeight w:val="731"/>
        </w:trPr>
        <w:tc>
          <w:tcPr>
            <w:tcW w:w="851" w:type="pct"/>
            <w:tcBorders>
              <w:top w:val="single" w:sz="12" w:space="0" w:color="3C5896" w:themeColor="accent1"/>
              <w:right w:val="single" w:sz="4" w:space="0" w:color="000000" w:themeColor="text1"/>
            </w:tcBorders>
          </w:tcPr>
          <w:p w14:paraId="0D184A91" w14:textId="77777777" w:rsidR="0034575E" w:rsidRPr="00631C1B" w:rsidRDefault="0034575E" w:rsidP="0034575E">
            <w:pPr>
              <w:rPr>
                <w:sz w:val="18"/>
                <w:szCs w:val="18"/>
              </w:rPr>
            </w:pPr>
            <w:r w:rsidRPr="00631C1B">
              <w:rPr>
                <w:sz w:val="18"/>
                <w:szCs w:val="18"/>
              </w:rPr>
              <w:t>Young people report increased aspirations</w:t>
            </w:r>
          </w:p>
        </w:tc>
        <w:tc>
          <w:tcPr>
            <w:tcW w:w="452" w:type="pct"/>
            <w:tcBorders>
              <w:top w:val="single" w:sz="12" w:space="0" w:color="3C5896" w:themeColor="accent1"/>
              <w:left w:val="single" w:sz="4" w:space="0" w:color="000000" w:themeColor="text1"/>
              <w:right w:val="single" w:sz="4" w:space="0" w:color="000000" w:themeColor="text1"/>
            </w:tcBorders>
          </w:tcPr>
          <w:p w14:paraId="77F160DC" w14:textId="134E61B5" w:rsidR="0034575E" w:rsidRPr="00631C1B" w:rsidRDefault="0034575E" w:rsidP="0034575E">
            <w:pPr>
              <w:jc w:val="center"/>
              <w:rPr>
                <w:sz w:val="18"/>
                <w:szCs w:val="18"/>
              </w:rPr>
            </w:pPr>
            <w:r w:rsidRPr="00631C1B">
              <w:rPr>
                <w:sz w:val="18"/>
                <w:szCs w:val="18"/>
              </w:rPr>
              <w:t>6,000</w:t>
            </w:r>
          </w:p>
        </w:tc>
        <w:tc>
          <w:tcPr>
            <w:tcW w:w="495" w:type="pct"/>
            <w:tcBorders>
              <w:top w:val="single" w:sz="12" w:space="0" w:color="3C5896" w:themeColor="accent1"/>
              <w:left w:val="single" w:sz="4" w:space="0" w:color="000000" w:themeColor="text1"/>
              <w:right w:val="single" w:sz="4" w:space="0" w:color="000000" w:themeColor="text1"/>
            </w:tcBorders>
          </w:tcPr>
          <w:p w14:paraId="021DBD01" w14:textId="493E0241" w:rsidR="0034575E" w:rsidRPr="00631C1B" w:rsidRDefault="0034575E" w:rsidP="0034575E">
            <w:pPr>
              <w:jc w:val="center"/>
              <w:rPr>
                <w:sz w:val="18"/>
                <w:szCs w:val="18"/>
              </w:rPr>
            </w:pPr>
            <w:r w:rsidRPr="00631C1B">
              <w:rPr>
                <w:sz w:val="18"/>
                <w:szCs w:val="18"/>
              </w:rPr>
              <w:t>5,137</w:t>
            </w:r>
          </w:p>
        </w:tc>
        <w:tc>
          <w:tcPr>
            <w:tcW w:w="754" w:type="pct"/>
            <w:tcBorders>
              <w:top w:val="single" w:sz="12" w:space="0" w:color="3C5896" w:themeColor="accent1"/>
              <w:left w:val="single" w:sz="4" w:space="0" w:color="000000" w:themeColor="text1"/>
              <w:right w:val="single" w:sz="4" w:space="0" w:color="000000" w:themeColor="text1"/>
            </w:tcBorders>
          </w:tcPr>
          <w:p w14:paraId="49E88430" w14:textId="54751903" w:rsidR="0034575E" w:rsidRPr="00631C1B" w:rsidRDefault="0034575E" w:rsidP="0034575E">
            <w:pPr>
              <w:jc w:val="center"/>
              <w:rPr>
                <w:sz w:val="18"/>
                <w:szCs w:val="18"/>
              </w:rPr>
            </w:pPr>
            <w:r w:rsidRPr="00631C1B">
              <w:rPr>
                <w:sz w:val="18"/>
                <w:szCs w:val="18"/>
              </w:rPr>
              <w:t>7,500</w:t>
            </w:r>
          </w:p>
        </w:tc>
        <w:tc>
          <w:tcPr>
            <w:tcW w:w="623" w:type="pct"/>
            <w:tcBorders>
              <w:top w:val="single" w:sz="12" w:space="0" w:color="3C5896" w:themeColor="accent1"/>
              <w:left w:val="single" w:sz="4" w:space="0" w:color="000000" w:themeColor="text1"/>
              <w:right w:val="single" w:sz="4" w:space="0" w:color="000000" w:themeColor="text1"/>
            </w:tcBorders>
          </w:tcPr>
          <w:p w14:paraId="78240173" w14:textId="4A26A308" w:rsidR="0034575E" w:rsidRPr="00631C1B" w:rsidRDefault="0034575E" w:rsidP="0034575E">
            <w:pPr>
              <w:jc w:val="center"/>
              <w:rPr>
                <w:sz w:val="18"/>
                <w:szCs w:val="18"/>
              </w:rPr>
            </w:pPr>
            <w:r w:rsidRPr="00631C1B">
              <w:rPr>
                <w:sz w:val="18"/>
                <w:szCs w:val="18"/>
              </w:rPr>
              <w:t>4,025</w:t>
            </w:r>
          </w:p>
        </w:tc>
        <w:tc>
          <w:tcPr>
            <w:tcW w:w="601" w:type="pct"/>
            <w:tcBorders>
              <w:top w:val="single" w:sz="12" w:space="0" w:color="3C5896" w:themeColor="accent1"/>
              <w:left w:val="single" w:sz="4" w:space="0" w:color="000000" w:themeColor="text1"/>
              <w:right w:val="single" w:sz="4" w:space="0" w:color="000000" w:themeColor="text1"/>
            </w:tcBorders>
          </w:tcPr>
          <w:p w14:paraId="18588BB8" w14:textId="3993948D" w:rsidR="0034575E" w:rsidRPr="00631C1B" w:rsidRDefault="0034575E" w:rsidP="0034575E">
            <w:pPr>
              <w:jc w:val="center"/>
              <w:rPr>
                <w:sz w:val="18"/>
                <w:szCs w:val="18"/>
              </w:rPr>
            </w:pPr>
            <w:r w:rsidRPr="00631C1B">
              <w:rPr>
                <w:sz w:val="18"/>
                <w:szCs w:val="18"/>
              </w:rPr>
              <w:t>13,500</w:t>
            </w:r>
          </w:p>
        </w:tc>
        <w:tc>
          <w:tcPr>
            <w:tcW w:w="496" w:type="pct"/>
            <w:tcBorders>
              <w:top w:val="single" w:sz="12" w:space="0" w:color="3C5896" w:themeColor="accent1"/>
              <w:left w:val="single" w:sz="4" w:space="0" w:color="000000" w:themeColor="text1"/>
              <w:right w:val="single" w:sz="4" w:space="0" w:color="000000" w:themeColor="text1"/>
            </w:tcBorders>
          </w:tcPr>
          <w:p w14:paraId="17F4DDE6" w14:textId="6A6E0F4D" w:rsidR="0034575E" w:rsidRPr="00631C1B" w:rsidRDefault="0034575E" w:rsidP="0034575E">
            <w:pPr>
              <w:jc w:val="center"/>
              <w:rPr>
                <w:sz w:val="18"/>
                <w:szCs w:val="18"/>
              </w:rPr>
            </w:pPr>
            <w:r w:rsidRPr="00631C1B">
              <w:rPr>
                <w:sz w:val="18"/>
                <w:szCs w:val="18"/>
              </w:rPr>
              <w:t>9,162</w:t>
            </w:r>
          </w:p>
        </w:tc>
        <w:tc>
          <w:tcPr>
            <w:tcW w:w="79" w:type="pct"/>
            <w:tcBorders>
              <w:top w:val="single" w:sz="12" w:space="0" w:color="3C5896" w:themeColor="accent1"/>
              <w:left w:val="single" w:sz="4" w:space="0" w:color="000000" w:themeColor="text1"/>
            </w:tcBorders>
          </w:tcPr>
          <w:p w14:paraId="27F1820B" w14:textId="77777777" w:rsidR="0034575E" w:rsidRPr="00631C1B" w:rsidRDefault="0034575E" w:rsidP="0034575E">
            <w:pPr>
              <w:jc w:val="center"/>
              <w:rPr>
                <w:sz w:val="18"/>
                <w:szCs w:val="18"/>
              </w:rPr>
            </w:pPr>
          </w:p>
        </w:tc>
        <w:tc>
          <w:tcPr>
            <w:tcW w:w="648" w:type="pct"/>
            <w:tcBorders>
              <w:top w:val="single" w:sz="12" w:space="0" w:color="3C5896" w:themeColor="accent1"/>
            </w:tcBorders>
          </w:tcPr>
          <w:p w14:paraId="7716B064" w14:textId="4B43CD55" w:rsidR="0034575E" w:rsidRPr="00631C1B" w:rsidRDefault="0034575E" w:rsidP="0034575E">
            <w:pPr>
              <w:jc w:val="center"/>
              <w:rPr>
                <w:sz w:val="18"/>
                <w:szCs w:val="18"/>
              </w:rPr>
            </w:pPr>
            <w:r w:rsidRPr="00631C1B">
              <w:rPr>
                <w:sz w:val="18"/>
                <w:szCs w:val="18"/>
              </w:rPr>
              <w:t>-4,338</w:t>
            </w:r>
          </w:p>
        </w:tc>
      </w:tr>
      <w:tr w:rsidR="00040308" w:rsidRPr="00631C1B" w14:paraId="03306E1C" w14:textId="77777777" w:rsidTr="00040308">
        <w:trPr>
          <w:trHeight w:val="1015"/>
        </w:trPr>
        <w:tc>
          <w:tcPr>
            <w:tcW w:w="851" w:type="pct"/>
            <w:tcBorders>
              <w:right w:val="single" w:sz="4" w:space="0" w:color="000000" w:themeColor="text1"/>
            </w:tcBorders>
          </w:tcPr>
          <w:p w14:paraId="2BE155AD" w14:textId="77777777" w:rsidR="0034575E" w:rsidRPr="00631C1B" w:rsidRDefault="0034575E" w:rsidP="0034575E">
            <w:pPr>
              <w:rPr>
                <w:sz w:val="18"/>
                <w:szCs w:val="18"/>
              </w:rPr>
            </w:pPr>
            <w:r w:rsidRPr="00631C1B">
              <w:rPr>
                <w:sz w:val="18"/>
                <w:szCs w:val="18"/>
              </w:rPr>
              <w:t>Young people report positive changes in their behaviour</w:t>
            </w:r>
          </w:p>
        </w:tc>
        <w:tc>
          <w:tcPr>
            <w:tcW w:w="452" w:type="pct"/>
            <w:tcBorders>
              <w:left w:val="single" w:sz="4" w:space="0" w:color="000000" w:themeColor="text1"/>
              <w:right w:val="single" w:sz="4" w:space="0" w:color="000000" w:themeColor="text1"/>
            </w:tcBorders>
          </w:tcPr>
          <w:p w14:paraId="7EA0933A" w14:textId="0C253499" w:rsidR="0034575E" w:rsidRPr="00631C1B" w:rsidRDefault="0034575E" w:rsidP="0034575E">
            <w:pPr>
              <w:jc w:val="center"/>
              <w:rPr>
                <w:sz w:val="18"/>
                <w:szCs w:val="18"/>
              </w:rPr>
            </w:pPr>
            <w:r w:rsidRPr="00631C1B">
              <w:rPr>
                <w:sz w:val="18"/>
                <w:szCs w:val="18"/>
              </w:rPr>
              <w:t>6,000</w:t>
            </w:r>
          </w:p>
        </w:tc>
        <w:tc>
          <w:tcPr>
            <w:tcW w:w="495" w:type="pct"/>
            <w:tcBorders>
              <w:left w:val="single" w:sz="4" w:space="0" w:color="000000" w:themeColor="text1"/>
              <w:right w:val="single" w:sz="4" w:space="0" w:color="000000" w:themeColor="text1"/>
            </w:tcBorders>
          </w:tcPr>
          <w:p w14:paraId="713D1FEA" w14:textId="17CF3DC8" w:rsidR="0034575E" w:rsidRPr="00631C1B" w:rsidRDefault="0034575E" w:rsidP="0034575E">
            <w:pPr>
              <w:jc w:val="center"/>
              <w:rPr>
                <w:sz w:val="18"/>
                <w:szCs w:val="18"/>
              </w:rPr>
            </w:pPr>
            <w:r w:rsidRPr="00631C1B">
              <w:rPr>
                <w:sz w:val="18"/>
                <w:szCs w:val="18"/>
              </w:rPr>
              <w:t>4,559</w:t>
            </w:r>
          </w:p>
        </w:tc>
        <w:tc>
          <w:tcPr>
            <w:tcW w:w="754" w:type="pct"/>
            <w:tcBorders>
              <w:left w:val="single" w:sz="4" w:space="0" w:color="000000" w:themeColor="text1"/>
              <w:right w:val="single" w:sz="4" w:space="0" w:color="000000" w:themeColor="text1"/>
            </w:tcBorders>
          </w:tcPr>
          <w:p w14:paraId="50FE39FC" w14:textId="468EEA95" w:rsidR="0034575E" w:rsidRPr="00631C1B" w:rsidRDefault="0034575E" w:rsidP="0034575E">
            <w:pPr>
              <w:jc w:val="center"/>
              <w:rPr>
                <w:sz w:val="18"/>
                <w:szCs w:val="18"/>
              </w:rPr>
            </w:pPr>
            <w:r w:rsidRPr="00631C1B">
              <w:rPr>
                <w:sz w:val="18"/>
                <w:szCs w:val="18"/>
              </w:rPr>
              <w:t>7,500</w:t>
            </w:r>
          </w:p>
        </w:tc>
        <w:tc>
          <w:tcPr>
            <w:tcW w:w="623" w:type="pct"/>
            <w:tcBorders>
              <w:left w:val="single" w:sz="4" w:space="0" w:color="000000" w:themeColor="text1"/>
              <w:right w:val="single" w:sz="4" w:space="0" w:color="000000" w:themeColor="text1"/>
            </w:tcBorders>
          </w:tcPr>
          <w:p w14:paraId="44035AA1" w14:textId="19CD6A2C" w:rsidR="0034575E" w:rsidRPr="00631C1B" w:rsidRDefault="0034575E" w:rsidP="0034575E">
            <w:pPr>
              <w:jc w:val="center"/>
              <w:rPr>
                <w:sz w:val="18"/>
                <w:szCs w:val="18"/>
              </w:rPr>
            </w:pPr>
            <w:r w:rsidRPr="00631C1B">
              <w:rPr>
                <w:sz w:val="18"/>
                <w:szCs w:val="18"/>
              </w:rPr>
              <w:t>3,613</w:t>
            </w:r>
          </w:p>
        </w:tc>
        <w:tc>
          <w:tcPr>
            <w:tcW w:w="601" w:type="pct"/>
            <w:tcBorders>
              <w:left w:val="single" w:sz="4" w:space="0" w:color="000000" w:themeColor="text1"/>
              <w:right w:val="single" w:sz="4" w:space="0" w:color="000000" w:themeColor="text1"/>
            </w:tcBorders>
          </w:tcPr>
          <w:p w14:paraId="4FB8A369" w14:textId="6B6FE382" w:rsidR="0034575E" w:rsidRPr="00631C1B" w:rsidRDefault="0034575E" w:rsidP="0034575E">
            <w:pPr>
              <w:jc w:val="center"/>
              <w:rPr>
                <w:sz w:val="18"/>
                <w:szCs w:val="18"/>
              </w:rPr>
            </w:pPr>
            <w:r w:rsidRPr="00631C1B">
              <w:rPr>
                <w:sz w:val="18"/>
                <w:szCs w:val="18"/>
              </w:rPr>
              <w:t>13,500</w:t>
            </w:r>
          </w:p>
        </w:tc>
        <w:tc>
          <w:tcPr>
            <w:tcW w:w="496" w:type="pct"/>
            <w:tcBorders>
              <w:left w:val="single" w:sz="4" w:space="0" w:color="000000" w:themeColor="text1"/>
              <w:right w:val="single" w:sz="4" w:space="0" w:color="000000" w:themeColor="text1"/>
            </w:tcBorders>
          </w:tcPr>
          <w:p w14:paraId="7961D393" w14:textId="16041637" w:rsidR="0034575E" w:rsidRPr="00631C1B" w:rsidRDefault="0034575E" w:rsidP="0034575E">
            <w:pPr>
              <w:jc w:val="center"/>
              <w:rPr>
                <w:sz w:val="18"/>
                <w:szCs w:val="18"/>
              </w:rPr>
            </w:pPr>
            <w:r w:rsidRPr="00631C1B">
              <w:rPr>
                <w:sz w:val="18"/>
                <w:szCs w:val="18"/>
              </w:rPr>
              <w:t>8,172</w:t>
            </w:r>
          </w:p>
        </w:tc>
        <w:tc>
          <w:tcPr>
            <w:tcW w:w="79" w:type="pct"/>
            <w:tcBorders>
              <w:left w:val="single" w:sz="4" w:space="0" w:color="000000" w:themeColor="text1"/>
            </w:tcBorders>
          </w:tcPr>
          <w:p w14:paraId="38FEA5D7" w14:textId="77777777" w:rsidR="0034575E" w:rsidRPr="00631C1B" w:rsidRDefault="0034575E" w:rsidP="0034575E">
            <w:pPr>
              <w:jc w:val="center"/>
              <w:rPr>
                <w:sz w:val="18"/>
                <w:szCs w:val="18"/>
              </w:rPr>
            </w:pPr>
          </w:p>
        </w:tc>
        <w:tc>
          <w:tcPr>
            <w:tcW w:w="648" w:type="pct"/>
          </w:tcPr>
          <w:p w14:paraId="1C2CF144" w14:textId="03290CA6" w:rsidR="0034575E" w:rsidRPr="00631C1B" w:rsidRDefault="0034575E" w:rsidP="0034575E">
            <w:pPr>
              <w:jc w:val="center"/>
              <w:rPr>
                <w:sz w:val="18"/>
                <w:szCs w:val="18"/>
              </w:rPr>
            </w:pPr>
            <w:r w:rsidRPr="00631C1B">
              <w:rPr>
                <w:sz w:val="18"/>
                <w:szCs w:val="18"/>
              </w:rPr>
              <w:t>-5,328</w:t>
            </w:r>
          </w:p>
        </w:tc>
      </w:tr>
      <w:tr w:rsidR="00040308" w:rsidRPr="00631C1B" w14:paraId="43E8EB96" w14:textId="77777777" w:rsidTr="00040308">
        <w:trPr>
          <w:trHeight w:val="1015"/>
        </w:trPr>
        <w:tc>
          <w:tcPr>
            <w:tcW w:w="851" w:type="pct"/>
            <w:tcBorders>
              <w:bottom w:val="nil"/>
              <w:right w:val="single" w:sz="4" w:space="0" w:color="000000" w:themeColor="text1"/>
            </w:tcBorders>
          </w:tcPr>
          <w:p w14:paraId="73FCE8AF" w14:textId="77777777" w:rsidR="00AC4A62" w:rsidRPr="00631C1B" w:rsidRDefault="00AC4A62" w:rsidP="009A3F2B">
            <w:pPr>
              <w:rPr>
                <w:sz w:val="18"/>
                <w:szCs w:val="18"/>
              </w:rPr>
            </w:pPr>
            <w:r w:rsidRPr="00631C1B">
              <w:rPr>
                <w:sz w:val="18"/>
                <w:szCs w:val="18"/>
              </w:rPr>
              <w:t>Stakeholders report on perceived increased aspirations in young people</w:t>
            </w:r>
          </w:p>
        </w:tc>
        <w:tc>
          <w:tcPr>
            <w:tcW w:w="452" w:type="pct"/>
            <w:tcBorders>
              <w:left w:val="single" w:sz="4" w:space="0" w:color="000000" w:themeColor="text1"/>
              <w:bottom w:val="nil"/>
              <w:right w:val="single" w:sz="4" w:space="0" w:color="000000" w:themeColor="text1"/>
            </w:tcBorders>
          </w:tcPr>
          <w:p w14:paraId="48776A7A" w14:textId="16224A27" w:rsidR="00AC4A62" w:rsidRPr="00631C1B" w:rsidRDefault="00D63FD6" w:rsidP="009A3F2B">
            <w:pPr>
              <w:jc w:val="center"/>
              <w:rPr>
                <w:sz w:val="18"/>
                <w:szCs w:val="18"/>
              </w:rPr>
            </w:pPr>
            <w:r w:rsidRPr="00631C1B">
              <w:rPr>
                <w:sz w:val="18"/>
                <w:szCs w:val="18"/>
              </w:rPr>
              <w:t>75%</w:t>
            </w:r>
          </w:p>
        </w:tc>
        <w:tc>
          <w:tcPr>
            <w:tcW w:w="495" w:type="pct"/>
            <w:tcBorders>
              <w:left w:val="single" w:sz="4" w:space="0" w:color="000000" w:themeColor="text1"/>
              <w:bottom w:val="nil"/>
              <w:right w:val="single" w:sz="4" w:space="0" w:color="000000" w:themeColor="text1"/>
            </w:tcBorders>
          </w:tcPr>
          <w:p w14:paraId="283CA044" w14:textId="490A0E91" w:rsidR="00AC4A62" w:rsidRPr="00631C1B" w:rsidRDefault="00040308" w:rsidP="009A3F2B">
            <w:pPr>
              <w:jc w:val="center"/>
              <w:rPr>
                <w:sz w:val="18"/>
                <w:szCs w:val="18"/>
              </w:rPr>
            </w:pPr>
            <w:r w:rsidRPr="00631C1B">
              <w:rPr>
                <w:sz w:val="18"/>
                <w:szCs w:val="18"/>
              </w:rPr>
              <w:t>100%</w:t>
            </w:r>
          </w:p>
        </w:tc>
        <w:tc>
          <w:tcPr>
            <w:tcW w:w="754" w:type="pct"/>
            <w:tcBorders>
              <w:left w:val="single" w:sz="4" w:space="0" w:color="000000" w:themeColor="text1"/>
              <w:bottom w:val="nil"/>
              <w:right w:val="single" w:sz="4" w:space="0" w:color="000000" w:themeColor="text1"/>
            </w:tcBorders>
          </w:tcPr>
          <w:p w14:paraId="38DD114B" w14:textId="5DDBBAD8" w:rsidR="00AC4A62" w:rsidRPr="00631C1B" w:rsidRDefault="008D23AE" w:rsidP="009A3F2B">
            <w:pPr>
              <w:jc w:val="center"/>
              <w:rPr>
                <w:sz w:val="18"/>
                <w:szCs w:val="18"/>
              </w:rPr>
            </w:pPr>
            <w:r w:rsidRPr="00631C1B">
              <w:rPr>
                <w:sz w:val="18"/>
                <w:szCs w:val="18"/>
              </w:rPr>
              <w:t>75%</w:t>
            </w:r>
          </w:p>
        </w:tc>
        <w:tc>
          <w:tcPr>
            <w:tcW w:w="623" w:type="pct"/>
            <w:tcBorders>
              <w:left w:val="single" w:sz="4" w:space="0" w:color="000000" w:themeColor="text1"/>
              <w:bottom w:val="nil"/>
              <w:right w:val="single" w:sz="4" w:space="0" w:color="000000" w:themeColor="text1"/>
            </w:tcBorders>
          </w:tcPr>
          <w:p w14:paraId="13ED33C1" w14:textId="7DC0907F" w:rsidR="00AC4A62" w:rsidRPr="00631C1B" w:rsidRDefault="00040308" w:rsidP="009A3F2B">
            <w:pPr>
              <w:jc w:val="center"/>
              <w:rPr>
                <w:sz w:val="18"/>
                <w:szCs w:val="18"/>
              </w:rPr>
            </w:pPr>
            <w:r w:rsidRPr="00631C1B">
              <w:rPr>
                <w:sz w:val="18"/>
                <w:szCs w:val="18"/>
              </w:rPr>
              <w:t>N/A</w:t>
            </w:r>
          </w:p>
        </w:tc>
        <w:tc>
          <w:tcPr>
            <w:tcW w:w="601" w:type="pct"/>
            <w:tcBorders>
              <w:left w:val="single" w:sz="4" w:space="0" w:color="000000" w:themeColor="text1"/>
              <w:bottom w:val="nil"/>
              <w:right w:val="single" w:sz="4" w:space="0" w:color="000000" w:themeColor="text1"/>
            </w:tcBorders>
          </w:tcPr>
          <w:p w14:paraId="0DE72DDC" w14:textId="7853569F" w:rsidR="00AC4A62" w:rsidRPr="00631C1B" w:rsidRDefault="00C23032" w:rsidP="009A3F2B">
            <w:pPr>
              <w:jc w:val="center"/>
              <w:rPr>
                <w:sz w:val="18"/>
                <w:szCs w:val="18"/>
              </w:rPr>
            </w:pPr>
            <w:r w:rsidRPr="00631C1B">
              <w:rPr>
                <w:sz w:val="18"/>
                <w:szCs w:val="18"/>
              </w:rPr>
              <w:t>75%</w:t>
            </w:r>
          </w:p>
        </w:tc>
        <w:tc>
          <w:tcPr>
            <w:tcW w:w="496" w:type="pct"/>
            <w:tcBorders>
              <w:left w:val="single" w:sz="4" w:space="0" w:color="000000" w:themeColor="text1"/>
              <w:bottom w:val="nil"/>
              <w:right w:val="single" w:sz="4" w:space="0" w:color="000000" w:themeColor="text1"/>
            </w:tcBorders>
          </w:tcPr>
          <w:p w14:paraId="78D713FB" w14:textId="204A0DE2" w:rsidR="00AC4A62" w:rsidRPr="00631C1B" w:rsidRDefault="00FE5DB1" w:rsidP="009A3F2B">
            <w:pPr>
              <w:jc w:val="center"/>
              <w:rPr>
                <w:sz w:val="18"/>
                <w:szCs w:val="18"/>
              </w:rPr>
            </w:pPr>
            <w:r w:rsidRPr="00631C1B">
              <w:rPr>
                <w:sz w:val="18"/>
                <w:szCs w:val="18"/>
              </w:rPr>
              <w:t>100%</w:t>
            </w:r>
          </w:p>
        </w:tc>
        <w:tc>
          <w:tcPr>
            <w:tcW w:w="79" w:type="pct"/>
            <w:tcBorders>
              <w:left w:val="single" w:sz="4" w:space="0" w:color="000000" w:themeColor="text1"/>
            </w:tcBorders>
          </w:tcPr>
          <w:p w14:paraId="6E2673D3" w14:textId="77777777" w:rsidR="00AC4A62" w:rsidRPr="00631C1B" w:rsidRDefault="00AC4A62" w:rsidP="009A3F2B">
            <w:pPr>
              <w:jc w:val="center"/>
              <w:rPr>
                <w:sz w:val="18"/>
                <w:szCs w:val="18"/>
              </w:rPr>
            </w:pPr>
          </w:p>
        </w:tc>
        <w:tc>
          <w:tcPr>
            <w:tcW w:w="648" w:type="pct"/>
          </w:tcPr>
          <w:p w14:paraId="5436585E" w14:textId="559F8422" w:rsidR="00AC4A62" w:rsidRPr="00631C1B" w:rsidRDefault="00FE5DB1" w:rsidP="009A3F2B">
            <w:pPr>
              <w:jc w:val="center"/>
              <w:rPr>
                <w:sz w:val="18"/>
                <w:szCs w:val="18"/>
              </w:rPr>
            </w:pPr>
            <w:r w:rsidRPr="00631C1B">
              <w:rPr>
                <w:sz w:val="18"/>
                <w:szCs w:val="18"/>
              </w:rPr>
              <w:t>+25%</w:t>
            </w:r>
          </w:p>
        </w:tc>
      </w:tr>
    </w:tbl>
    <w:p w14:paraId="59A2A060" w14:textId="7CA3E882" w:rsidR="00AC4A62" w:rsidRPr="00631C1B" w:rsidRDefault="00AC4A62" w:rsidP="00AC4A62">
      <w:pPr>
        <w:pStyle w:val="Source"/>
      </w:pPr>
      <w:r w:rsidRPr="00631C1B">
        <w:t>Source: Creative Scotland / BOP Consulting (20</w:t>
      </w:r>
      <w:r w:rsidR="00AA5D6B" w:rsidRPr="00631C1B">
        <w:t>20</w:t>
      </w:r>
      <w:r w:rsidRPr="00631C1B">
        <w:t>)</w:t>
      </w:r>
    </w:p>
    <w:p w14:paraId="515F0F8F" w14:textId="21DACB37" w:rsidR="00AC4A62" w:rsidRPr="00631C1B" w:rsidRDefault="00AC4A62" w:rsidP="00D55BDF">
      <w:pPr>
        <w:pStyle w:val="ListBullet"/>
        <w:numPr>
          <w:ilvl w:val="0"/>
          <w:numId w:val="0"/>
        </w:numPr>
        <w:ind w:left="284" w:hanging="284"/>
      </w:pPr>
    </w:p>
    <w:p w14:paraId="61B2BD31" w14:textId="7AFD930E" w:rsidR="00256D80" w:rsidRPr="00631C1B" w:rsidRDefault="00256D80" w:rsidP="00E2532B">
      <w:pPr>
        <w:pStyle w:val="Subheadingnonumber"/>
      </w:pPr>
      <w:r w:rsidRPr="00631C1B">
        <w:t>Key</w:t>
      </w:r>
      <w:r w:rsidR="000C133D" w:rsidRPr="00631C1B">
        <w:t xml:space="preserve"> programme learning</w:t>
      </w:r>
    </w:p>
    <w:p w14:paraId="25B4B94F" w14:textId="58E243DE" w:rsidR="00256D80" w:rsidRPr="00631C1B" w:rsidRDefault="00231874" w:rsidP="00E2532B">
      <w:pPr>
        <w:pStyle w:val="ListBullet"/>
      </w:pPr>
      <w:r w:rsidRPr="00631C1B">
        <w:t>Not all young people need to change their behaviour</w:t>
      </w:r>
      <w:r w:rsidR="000F33FF" w:rsidRPr="00631C1B">
        <w:t>. O</w:t>
      </w:r>
      <w:r w:rsidRPr="00631C1B">
        <w:t>utcomes such as this should be critically, rather than universally applied</w:t>
      </w:r>
      <w:r w:rsidR="00FF39D2" w:rsidRPr="00631C1B">
        <w:t xml:space="preserve">, and a more </w:t>
      </w:r>
      <w:r w:rsidR="00AC5E89" w:rsidRPr="00631C1B">
        <w:t>inclusive</w:t>
      </w:r>
      <w:r w:rsidR="00FF39D2" w:rsidRPr="00631C1B">
        <w:t xml:space="preserve"> approach taken to such ‘deficit’</w:t>
      </w:r>
      <w:r w:rsidR="00AC5E89" w:rsidRPr="00631C1B">
        <w:t>-focused outcomes</w:t>
      </w:r>
    </w:p>
    <w:p w14:paraId="70891476" w14:textId="7B5289CA" w:rsidR="00EF7935" w:rsidRPr="00631C1B" w:rsidRDefault="00EF7935" w:rsidP="00E2532B">
      <w:pPr>
        <w:pStyle w:val="ListBullet"/>
      </w:pPr>
      <w:r w:rsidRPr="00631C1B">
        <w:t xml:space="preserve">Projects that were more successful in </w:t>
      </w:r>
      <w:r w:rsidR="00601DA1" w:rsidRPr="00631C1B">
        <w:t xml:space="preserve">improving aspiration often worked with artists and cultural professionals as guest tutors or guest speakers to share what life is like in the sector. Working with professionals in parallel sectors </w:t>
      </w:r>
      <w:r w:rsidR="00601DA1" w:rsidRPr="00631C1B">
        <w:t xml:space="preserve">(e.g. education, community development) can also demonstrate to participants how </w:t>
      </w:r>
      <w:r w:rsidR="00FF39D2" w:rsidRPr="00631C1B">
        <w:t>they can aspire to previously unconsidered careers</w:t>
      </w:r>
      <w:r w:rsidR="000F33FF" w:rsidRPr="00631C1B">
        <w:t>.</w:t>
      </w:r>
    </w:p>
    <w:p w14:paraId="7D4D78FB" w14:textId="546BE2C0" w:rsidR="007F03D8" w:rsidRPr="00631C1B" w:rsidRDefault="007F03D8" w:rsidP="007F03D8">
      <w:pPr>
        <w:pStyle w:val="Heading1"/>
        <w:numPr>
          <w:ilvl w:val="0"/>
          <w:numId w:val="0"/>
        </w:numPr>
      </w:pPr>
      <w:bookmarkStart w:id="36" w:name="_Toc43980023"/>
      <w:r w:rsidRPr="00631C1B">
        <w:lastRenderedPageBreak/>
        <w:t xml:space="preserve">Case Study 3: </w:t>
      </w:r>
      <w:proofErr w:type="spellStart"/>
      <w:r w:rsidR="00805687" w:rsidRPr="00631C1B">
        <w:t>Macrobert</w:t>
      </w:r>
      <w:proofErr w:type="spellEnd"/>
      <w:r w:rsidR="00D34776" w:rsidRPr="00631C1B">
        <w:t>-</w:t>
      </w:r>
      <w:r w:rsidR="00805687" w:rsidRPr="00631C1B">
        <w:t xml:space="preserve">In, </w:t>
      </w:r>
      <w:proofErr w:type="spellStart"/>
      <w:r w:rsidR="007A720A" w:rsidRPr="00631C1B">
        <w:t>Macrobert</w:t>
      </w:r>
      <w:proofErr w:type="spellEnd"/>
      <w:r w:rsidR="003F70A6" w:rsidRPr="00631C1B">
        <w:t xml:space="preserve"> Arts Centre</w:t>
      </w:r>
      <w:bookmarkEnd w:id="36"/>
    </w:p>
    <w:p w14:paraId="66A3AD6B" w14:textId="2647A89D" w:rsidR="00E11277" w:rsidRPr="00631C1B" w:rsidRDefault="00E11277" w:rsidP="00E11277">
      <w:pPr>
        <w:pStyle w:val="Subheadingnonumber"/>
      </w:pPr>
      <w:r w:rsidRPr="00631C1B">
        <w:t xml:space="preserve">What is </w:t>
      </w:r>
      <w:proofErr w:type="spellStart"/>
      <w:r w:rsidR="002D5019" w:rsidRPr="00631C1B">
        <w:t>Marcrobert</w:t>
      </w:r>
      <w:proofErr w:type="spellEnd"/>
      <w:r w:rsidR="002D5019" w:rsidRPr="00631C1B">
        <w:t>-In</w:t>
      </w:r>
      <w:r w:rsidRPr="00631C1B">
        <w:t>?</w:t>
      </w:r>
    </w:p>
    <w:p w14:paraId="3E311B3F" w14:textId="7A154735" w:rsidR="00805687" w:rsidRPr="00631C1B" w:rsidRDefault="005C2E37" w:rsidP="005C2E37">
      <w:pPr>
        <w:pStyle w:val="BodyText"/>
      </w:pPr>
      <w:proofErr w:type="spellStart"/>
      <w:r w:rsidRPr="00631C1B">
        <w:t>Macrobert</w:t>
      </w:r>
      <w:proofErr w:type="spellEnd"/>
      <w:r w:rsidRPr="00631C1B">
        <w:t xml:space="preserve"> is an arts centre based on campus at University of Stirling. At </w:t>
      </w:r>
      <w:proofErr w:type="spellStart"/>
      <w:r w:rsidRPr="00631C1B">
        <w:t>Macrobert</w:t>
      </w:r>
      <w:proofErr w:type="spellEnd"/>
      <w:r w:rsidRPr="00631C1B">
        <w:t xml:space="preserve"> they believe their work should be for everyone and strive to ensure the whole community </w:t>
      </w:r>
      <w:proofErr w:type="gramStart"/>
      <w:r w:rsidRPr="00631C1B">
        <w:t>has the opportunity to</w:t>
      </w:r>
      <w:proofErr w:type="gramEnd"/>
      <w:r w:rsidRPr="00631C1B">
        <w:t xml:space="preserve"> access and participate.  </w:t>
      </w:r>
    </w:p>
    <w:p w14:paraId="5CBE4AC7" w14:textId="32AFCFEF" w:rsidR="00911061" w:rsidRPr="00631C1B" w:rsidRDefault="005C2E37" w:rsidP="009A3F2B">
      <w:pPr>
        <w:pStyle w:val="BodyText"/>
      </w:pPr>
      <w:r w:rsidRPr="00631C1B">
        <w:t>“</w:t>
      </w:r>
      <w:proofErr w:type="spellStart"/>
      <w:r w:rsidRPr="00631C1B">
        <w:t>Macrobert</w:t>
      </w:r>
      <w:proofErr w:type="spellEnd"/>
      <w:r w:rsidR="00D34776" w:rsidRPr="00631C1B">
        <w:t>-</w:t>
      </w:r>
      <w:r w:rsidRPr="00631C1B">
        <w:t>In” was designed to reach out to young people who experience barriers to accessing the arts centre and their existing outreach work.</w:t>
      </w:r>
    </w:p>
    <w:p w14:paraId="0B47AA75" w14:textId="54EC1A53" w:rsidR="00911061" w:rsidRPr="00631C1B" w:rsidRDefault="00911061" w:rsidP="009A3F2B">
      <w:pPr>
        <w:pStyle w:val="Quotesmall"/>
      </w:pPr>
      <w:r w:rsidRPr="00631C1B">
        <w:tab/>
      </w:r>
      <w:r w:rsidRPr="00631C1B">
        <w:rPr>
          <w:noProof/>
          <w:lang w:eastAsia="en-GB"/>
        </w:rPr>
        <w:drawing>
          <wp:inline distT="0" distB="0" distL="0" distR="0" wp14:anchorId="57630F23" wp14:editId="0E489A3E">
            <wp:extent cx="197640" cy="1569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We wanted to use this opportunity to take our programme and activities into our communities, specifically to those disadvantaged financially, or by health and / or social reasons.</w:t>
      </w:r>
    </w:p>
    <w:p w14:paraId="00BABBC5" w14:textId="1495EBA4" w:rsidR="00911061" w:rsidRPr="00631C1B" w:rsidRDefault="00911061" w:rsidP="00EB1C5B">
      <w:pPr>
        <w:pStyle w:val="Quotesmall"/>
        <w:numPr>
          <w:ilvl w:val="0"/>
          <w:numId w:val="5"/>
        </w:numPr>
        <w:jc w:val="right"/>
      </w:pPr>
      <w:r w:rsidRPr="00631C1B">
        <w:t>Development Manager</w:t>
      </w:r>
    </w:p>
    <w:p w14:paraId="560AD57D" w14:textId="3D79DD8E" w:rsidR="005C2E37" w:rsidRPr="00631C1B" w:rsidRDefault="005C2E37" w:rsidP="005C2E37">
      <w:pPr>
        <w:pStyle w:val="BodyText"/>
      </w:pPr>
      <w:r w:rsidRPr="00631C1B">
        <w:t>In order to reach these target groups</w:t>
      </w:r>
      <w:r w:rsidR="00911061" w:rsidRPr="00631C1B">
        <w:t>,</w:t>
      </w:r>
      <w:r w:rsidRPr="00631C1B">
        <w:t xml:space="preserve"> new community partnerships had to be developed. Through co-hosting events with partners, as well as offering events at larger gatherings, they maximized reach, focusing on those who would not normally consider approaching the centre itself.</w:t>
      </w:r>
    </w:p>
    <w:p w14:paraId="22C834E0" w14:textId="0587204F" w:rsidR="005C2E37" w:rsidRPr="00631C1B" w:rsidRDefault="005C2E37" w:rsidP="005C2E37">
      <w:pPr>
        <w:pStyle w:val="BodyText"/>
      </w:pPr>
      <w:r w:rsidRPr="00631C1B">
        <w:t xml:space="preserve">All sessions gave young people an opportunity to try their hand at a creative activity. Sessions offered dance / movement, drama, singing, art, </w:t>
      </w:r>
      <w:r w:rsidR="00AF277C" w:rsidRPr="00631C1B">
        <w:t>filmmaking</w:t>
      </w:r>
      <w:r w:rsidRPr="00631C1B">
        <w:t>, craft and puppetry.</w:t>
      </w:r>
    </w:p>
    <w:p w14:paraId="4A6668AB" w14:textId="6DBE06DB" w:rsidR="00FB4EE7" w:rsidRPr="00631C1B" w:rsidRDefault="00FB4EE7" w:rsidP="007F03D8">
      <w:pPr>
        <w:pStyle w:val="Subheadingnonumber"/>
      </w:pPr>
      <w:r w:rsidRPr="00631C1B">
        <w:t>Impact on participants</w:t>
      </w:r>
      <w:r w:rsidR="00576442" w:rsidRPr="00631C1B">
        <w:t xml:space="preserve"> and organisation</w:t>
      </w:r>
    </w:p>
    <w:p w14:paraId="6C037230" w14:textId="567DA993" w:rsidR="00A64B00" w:rsidRPr="00631C1B" w:rsidRDefault="00A64B00" w:rsidP="00A64B00">
      <w:pPr>
        <w:pStyle w:val="BodyText"/>
      </w:pPr>
      <w:proofErr w:type="spellStart"/>
      <w:r w:rsidRPr="00631C1B">
        <w:t>Macrobert</w:t>
      </w:r>
      <w:proofErr w:type="spellEnd"/>
      <w:r w:rsidRPr="00631C1B">
        <w:t xml:space="preserve"> has well established links with community organisations across their </w:t>
      </w:r>
      <w:proofErr w:type="gramStart"/>
      <w:r w:rsidRPr="00631C1B">
        <w:t>region</w:t>
      </w:r>
      <w:r w:rsidR="00AF277C" w:rsidRPr="00631C1B">
        <w:t>,</w:t>
      </w:r>
      <w:r w:rsidRPr="00631C1B">
        <w:t xml:space="preserve"> but</w:t>
      </w:r>
      <w:proofErr w:type="gramEnd"/>
      <w:r w:rsidRPr="00631C1B">
        <w:t xml:space="preserve"> focused on establishing and consolidating links with groups working with hard to engage young people. These included </w:t>
      </w:r>
      <w:proofErr w:type="spellStart"/>
      <w:r w:rsidRPr="00631C1B">
        <w:t>Doune</w:t>
      </w:r>
      <w:proofErr w:type="spellEnd"/>
      <w:r w:rsidRPr="00631C1B">
        <w:t xml:space="preserve"> and Deanston Youth Project working with isolated young people, </w:t>
      </w:r>
      <w:proofErr w:type="spellStart"/>
      <w:r w:rsidRPr="00631C1B">
        <w:t>Seamab</w:t>
      </w:r>
      <w:proofErr w:type="spellEnd"/>
      <w:r w:rsidRPr="00631C1B">
        <w:t xml:space="preserve">, a school for in-care children and </w:t>
      </w:r>
      <w:proofErr w:type="spellStart"/>
      <w:r w:rsidRPr="00631C1B">
        <w:t>Reachout</w:t>
      </w:r>
      <w:proofErr w:type="spellEnd"/>
      <w:r w:rsidRPr="00631C1B">
        <w:t xml:space="preserve">, a charity partner, which has since expressed interest in a </w:t>
      </w:r>
      <w:r w:rsidR="0065264D" w:rsidRPr="00631C1B">
        <w:t>longer-term</w:t>
      </w:r>
      <w:r w:rsidRPr="00631C1B">
        <w:t xml:space="preserve"> relationship to continue working with young people with mental health problems.   </w:t>
      </w:r>
    </w:p>
    <w:p w14:paraId="33AE82AF" w14:textId="13D68182" w:rsidR="00686FC8" w:rsidRPr="00631C1B" w:rsidRDefault="00A64B00" w:rsidP="009A3F2B">
      <w:pPr>
        <w:pStyle w:val="BodyText"/>
      </w:pPr>
      <w:r w:rsidRPr="00631C1B">
        <w:t>As well as introducing new partners out</w:t>
      </w:r>
      <w:r w:rsidR="00686FC8" w:rsidRPr="00631C1B">
        <w:t>side</w:t>
      </w:r>
      <w:r w:rsidRPr="00631C1B">
        <w:t xml:space="preserve"> </w:t>
      </w:r>
      <w:proofErr w:type="spellStart"/>
      <w:r w:rsidRPr="00631C1B">
        <w:t>Macrobert’s</w:t>
      </w:r>
      <w:proofErr w:type="spellEnd"/>
      <w:r w:rsidRPr="00631C1B">
        <w:t xml:space="preserve"> walls, the project is designed to strengthen bonds within communities themselves.</w:t>
      </w:r>
    </w:p>
    <w:p w14:paraId="48D83CDB" w14:textId="6B047931" w:rsidR="00686FC8" w:rsidRPr="00631C1B" w:rsidRDefault="00686FC8" w:rsidP="009A3F2B">
      <w:pPr>
        <w:pStyle w:val="Quotesmall"/>
      </w:pPr>
      <w:r w:rsidRPr="00631C1B">
        <w:tab/>
      </w:r>
      <w:r w:rsidRPr="00631C1B">
        <w:rPr>
          <w:noProof/>
          <w:lang w:eastAsia="en-GB"/>
        </w:rPr>
        <w:drawing>
          <wp:inline distT="0" distB="0" distL="0" distR="0" wp14:anchorId="2AA369C3" wp14:editId="5A1D2D43">
            <wp:extent cx="197640" cy="1569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We know the arts can draw people together in a way more powerful than anything else.</w:t>
      </w:r>
    </w:p>
    <w:p w14:paraId="25AA3BFF" w14:textId="5A65F5DC" w:rsidR="00686FC8" w:rsidRPr="00631C1B" w:rsidRDefault="00686FC8" w:rsidP="00EB1C5B">
      <w:pPr>
        <w:pStyle w:val="Quotesmall"/>
        <w:numPr>
          <w:ilvl w:val="0"/>
          <w:numId w:val="5"/>
        </w:numPr>
        <w:jc w:val="right"/>
      </w:pPr>
      <w:proofErr w:type="spellStart"/>
      <w:r w:rsidRPr="00631C1B">
        <w:t>Macrobert</w:t>
      </w:r>
      <w:proofErr w:type="spellEnd"/>
      <w:r w:rsidR="00D34776" w:rsidRPr="00631C1B">
        <w:t>-</w:t>
      </w:r>
      <w:r w:rsidRPr="00631C1B">
        <w:t>In co-ordinator</w:t>
      </w:r>
    </w:p>
    <w:p w14:paraId="5701C6F2" w14:textId="77777777" w:rsidR="00A64B00" w:rsidRPr="00631C1B" w:rsidRDefault="00A64B00" w:rsidP="00A64B00">
      <w:pPr>
        <w:pStyle w:val="BodyText"/>
      </w:pPr>
      <w:proofErr w:type="spellStart"/>
      <w:r w:rsidRPr="00631C1B">
        <w:t>Macrobert</w:t>
      </w:r>
      <w:proofErr w:type="spellEnd"/>
      <w:r w:rsidRPr="00631C1B">
        <w:t xml:space="preserve">-In highlighted the fact that there are many isolated and vulnerable students on campus at the University. </w:t>
      </w:r>
      <w:proofErr w:type="spellStart"/>
      <w:r w:rsidRPr="00631C1B">
        <w:t>Macrobert</w:t>
      </w:r>
      <w:proofErr w:type="spellEnd"/>
      <w:r w:rsidRPr="00631C1B">
        <w:t xml:space="preserve"> are now working with the Student Services team to identify ways to target these individuals and are considering a Film Club as their first venture with this group.</w:t>
      </w:r>
    </w:p>
    <w:p w14:paraId="7A3A2440" w14:textId="400A3277" w:rsidR="00A64B00" w:rsidRPr="00631C1B" w:rsidRDefault="00A64B00" w:rsidP="00A64B00">
      <w:pPr>
        <w:pStyle w:val="BodyText"/>
        <w:rPr>
          <w:rFonts w:cs="Arial"/>
        </w:rPr>
      </w:pPr>
      <w:r w:rsidRPr="00631C1B">
        <w:t>At</w:t>
      </w:r>
      <w:r w:rsidR="00F6362F" w:rsidRPr="00631C1B">
        <w:t xml:space="preserve"> their core,</w:t>
      </w:r>
      <w:r w:rsidRPr="00631C1B">
        <w:t xml:space="preserve"> many community partners focus on supporting the mental health of their participants. This was considered more for this project than for other </w:t>
      </w:r>
      <w:proofErr w:type="spellStart"/>
      <w:r w:rsidRPr="00631C1B">
        <w:t>Macrobert</w:t>
      </w:r>
      <w:proofErr w:type="spellEnd"/>
      <w:r w:rsidRPr="00631C1B">
        <w:t xml:space="preserve"> ventures and a focus on positive change and positive views of self was vital to success.   </w:t>
      </w:r>
    </w:p>
    <w:p w14:paraId="13C1A2EB" w14:textId="20377771" w:rsidR="00227742" w:rsidRPr="00631C1B" w:rsidRDefault="00A64B00" w:rsidP="009A3F2B">
      <w:pPr>
        <w:pStyle w:val="BodyText"/>
      </w:pPr>
      <w:r w:rsidRPr="00631C1B">
        <w:t xml:space="preserve">The project has allowed members of the staff team to develop new skills in project management, budgeting and working with vulnerable young people. This has been a </w:t>
      </w:r>
      <w:proofErr w:type="gramStart"/>
      <w:r w:rsidRPr="00631C1B">
        <w:t>particular boost</w:t>
      </w:r>
      <w:proofErr w:type="gramEnd"/>
      <w:r w:rsidRPr="00631C1B">
        <w:t xml:space="preserve"> for developing junior members of staff.</w:t>
      </w:r>
    </w:p>
    <w:p w14:paraId="0693CEBE" w14:textId="58E18251" w:rsidR="00227742" w:rsidRPr="00631C1B" w:rsidRDefault="00227742" w:rsidP="009A3F2B">
      <w:pPr>
        <w:pStyle w:val="Quotesmall"/>
      </w:pPr>
      <w:r w:rsidRPr="00631C1B">
        <w:tab/>
      </w:r>
      <w:r w:rsidRPr="00631C1B">
        <w:rPr>
          <w:noProof/>
          <w:lang w:eastAsia="en-GB"/>
        </w:rPr>
        <w:drawing>
          <wp:inline distT="0" distB="0" distL="0" distR="0" wp14:anchorId="6F6EF96E" wp14:editId="0F63E9D3">
            <wp:extent cx="197640" cy="1569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 xml:space="preserve">My time coordinating </w:t>
      </w:r>
      <w:proofErr w:type="spellStart"/>
      <w:r w:rsidRPr="00631C1B">
        <w:t>Macrobert</w:t>
      </w:r>
      <w:proofErr w:type="spellEnd"/>
      <w:r w:rsidRPr="00631C1B">
        <w:t>-In has been invaluable in allowing me the chance to develop my project management skills. I have improved in planning, budgeting and even working practically with vulnerable young people within a drama and performance context. Beyond the project, I feel confident in going forward to develop these skills further and using what I have learned to benefit other areas of the organisation.</w:t>
      </w:r>
    </w:p>
    <w:p w14:paraId="5E513CA8" w14:textId="6FD835FD" w:rsidR="00227742" w:rsidRPr="00631C1B" w:rsidRDefault="00227742" w:rsidP="00EB1C5B">
      <w:pPr>
        <w:pStyle w:val="Quotesmall"/>
        <w:numPr>
          <w:ilvl w:val="0"/>
          <w:numId w:val="5"/>
        </w:numPr>
        <w:jc w:val="right"/>
      </w:pPr>
      <w:r w:rsidRPr="00631C1B">
        <w:t>Junior staff member</w:t>
      </w:r>
    </w:p>
    <w:p w14:paraId="63D2B700" w14:textId="77777777" w:rsidR="00227742" w:rsidRPr="00631C1B" w:rsidRDefault="00227742" w:rsidP="00A64B00">
      <w:pPr>
        <w:pStyle w:val="Subheadingnonumber"/>
      </w:pPr>
    </w:p>
    <w:p w14:paraId="56F5B016" w14:textId="77777777" w:rsidR="00227742" w:rsidRPr="00631C1B" w:rsidRDefault="00227742" w:rsidP="00A64B00">
      <w:pPr>
        <w:pStyle w:val="Subheadingnonumber"/>
      </w:pPr>
    </w:p>
    <w:p w14:paraId="222A4047" w14:textId="25C37895" w:rsidR="00A64B00" w:rsidRPr="00631C1B" w:rsidRDefault="00A64B00" w:rsidP="00A64B00">
      <w:pPr>
        <w:pStyle w:val="Subheadingnonumber"/>
      </w:pPr>
      <w:r w:rsidRPr="00631C1B">
        <w:lastRenderedPageBreak/>
        <w:t>Successes, challenges and learning</w:t>
      </w:r>
    </w:p>
    <w:p w14:paraId="6B301280" w14:textId="273CB0A8" w:rsidR="0014043C" w:rsidRPr="00631C1B" w:rsidRDefault="0014043C" w:rsidP="0014043C">
      <w:pPr>
        <w:pStyle w:val="BodyText"/>
      </w:pPr>
      <w:r w:rsidRPr="00631C1B">
        <w:t>Initially the project was designed to offer day long workshops with community groups. Very early</w:t>
      </w:r>
      <w:r w:rsidR="003A5D2D" w:rsidRPr="00631C1B">
        <w:t xml:space="preserve"> in the process,</w:t>
      </w:r>
      <w:r w:rsidRPr="00631C1B">
        <w:t xml:space="preserve"> the team realised that this was too long for some participants. They adapted accordingly and offered flexible workshops for those who could not commit to a day-long event. This highlights the need to adapt and respond to participant needs.</w:t>
      </w:r>
    </w:p>
    <w:p w14:paraId="4E339FE7" w14:textId="5E51EE41" w:rsidR="0014043C" w:rsidRPr="00631C1B" w:rsidRDefault="0014043C" w:rsidP="0014043C">
      <w:pPr>
        <w:pStyle w:val="BodyText"/>
      </w:pPr>
      <w:r w:rsidRPr="00631C1B">
        <w:t xml:space="preserve">This project worked with vulnerable young people, often in areas of multiple deprivation, many of whom would not normally take part in arts activity. This meant the delivery environment and group leadership was vitally important.  Young people were, throughout, given opportunities to question and work through their feelings about the project and the team aimed for participants to take ownership and drive the project themselves, taking responsibility for the outcomes and thus feeling empowered. They were encouraged to share what worked and </w:t>
      </w:r>
      <w:proofErr w:type="gramStart"/>
      <w:r w:rsidRPr="00631C1B">
        <w:t>didn’t</w:t>
      </w:r>
      <w:proofErr w:type="gramEnd"/>
      <w:r w:rsidRPr="00631C1B">
        <w:t xml:space="preserve"> through accessible evaluation methods (emojis, post it notes) as well as to feedback on the experience as a whole.  </w:t>
      </w:r>
    </w:p>
    <w:p w14:paraId="2AA999E7" w14:textId="2FEF2DEA" w:rsidR="0014043C" w:rsidRPr="00631C1B" w:rsidRDefault="0014043C" w:rsidP="0014043C">
      <w:pPr>
        <w:pStyle w:val="BodyText"/>
      </w:pPr>
      <w:r w:rsidRPr="00631C1B">
        <w:t>Some delivery was in school and the team sought to make that feel different to class</w:t>
      </w:r>
      <w:r w:rsidR="001F4A0D" w:rsidRPr="00631C1B">
        <w:t>;</w:t>
      </w:r>
      <w:r w:rsidRPr="00631C1B">
        <w:t xml:space="preserve"> more learning through fun with art. Often they considered themes and subjects that might be explored in class but always with a different slant and often using topics as a way into project delivery.</w:t>
      </w:r>
    </w:p>
    <w:p w14:paraId="4781EA5D" w14:textId="515FACE3" w:rsidR="0014043C" w:rsidRPr="00631C1B" w:rsidRDefault="0014043C" w:rsidP="0014043C">
      <w:pPr>
        <w:pStyle w:val="BodyText"/>
      </w:pPr>
      <w:r w:rsidRPr="00631C1B">
        <w:t>All project delivery was outside the arts venue</w:t>
      </w:r>
      <w:r w:rsidR="00797E6C" w:rsidRPr="00631C1B">
        <w:t>,</w:t>
      </w:r>
      <w:r w:rsidRPr="00631C1B">
        <w:t xml:space="preserve"> but where possible visits were found to enhance connections. Some visited to see live performance, often </w:t>
      </w:r>
      <w:r w:rsidR="00797E6C" w:rsidRPr="00631C1B">
        <w:t xml:space="preserve">for the first time. </w:t>
      </w:r>
      <w:r w:rsidRPr="00631C1B">
        <w:t>Ensuring these were high quality interventions, often enhanced by a workshop post performance, strengthened the potential for participants to feel at home in the venue and feel they could return without being part of a group.  At Christmas it was noted that many participants attended the panto and other events for the first time whereas others continue contact through interactive project participation.</w:t>
      </w:r>
    </w:p>
    <w:p w14:paraId="2027B24F" w14:textId="61BDB8FD" w:rsidR="007F03D8" w:rsidRPr="00631C1B" w:rsidRDefault="0014043C" w:rsidP="00233B96">
      <w:pPr>
        <w:pStyle w:val="BodyText"/>
      </w:pPr>
      <w:r w:rsidRPr="00631C1B">
        <w:t xml:space="preserve">The team are trying to find different ways to continue working with </w:t>
      </w:r>
      <w:proofErr w:type="spellStart"/>
      <w:r w:rsidRPr="00631C1B">
        <w:t>Macrobert</w:t>
      </w:r>
      <w:proofErr w:type="spellEnd"/>
      <w:r w:rsidR="00233B96" w:rsidRPr="00631C1B">
        <w:t>-</w:t>
      </w:r>
      <w:r w:rsidRPr="00631C1B">
        <w:t>In participants. For some</w:t>
      </w:r>
      <w:r w:rsidR="00233B96" w:rsidRPr="00631C1B">
        <w:t xml:space="preserve">, this </w:t>
      </w:r>
      <w:r w:rsidRPr="00631C1B">
        <w:t xml:space="preserve">might include developing bursaries to remove financial barriers and with increasingly fragile public support for arts </w:t>
      </w:r>
      <w:r w:rsidR="00507BC9" w:rsidRPr="00631C1B">
        <w:t>they report this may</w:t>
      </w:r>
      <w:r w:rsidRPr="00631C1B">
        <w:t xml:space="preserve"> be challenging.</w:t>
      </w:r>
    </w:p>
    <w:p w14:paraId="4BD09B4C" w14:textId="77777777" w:rsidR="007F03D8" w:rsidRPr="00631C1B" w:rsidRDefault="007F03D8" w:rsidP="007F03D8"/>
    <w:p w14:paraId="50DA3287" w14:textId="15AFECE5" w:rsidR="00BD2E41" w:rsidRPr="00631C1B" w:rsidRDefault="00FE6DDF" w:rsidP="005158DC">
      <w:pPr>
        <w:pStyle w:val="Heading1"/>
      </w:pPr>
      <w:bookmarkStart w:id="37" w:name="_Toc43980024"/>
      <w:r w:rsidRPr="00631C1B">
        <w:lastRenderedPageBreak/>
        <w:t>Improving wellbeing</w:t>
      </w:r>
      <w:bookmarkEnd w:id="37"/>
    </w:p>
    <w:p w14:paraId="23568257" w14:textId="55139D8A" w:rsidR="005158DC" w:rsidRPr="00631C1B" w:rsidRDefault="005158DC" w:rsidP="005158DC">
      <w:pPr>
        <w:pStyle w:val="BodyText"/>
      </w:pPr>
      <w:r w:rsidRPr="00631C1B">
        <w:t>The outcome relating to wellbeing is informed by work that has gone into the SHANARRI indicators. The acronym SHANARRI relates to people feeling Safe; Healthy; Achieving; Nurtured; Active; Respected; Responsible; and Included. The research which led to the SHANARRI indicators has shown that different dimensions of wellbeing overlap and are both intrinsic, extrinsic, time-limited and contextual.</w:t>
      </w:r>
      <w:r w:rsidR="004C01CD" w:rsidRPr="00631C1B">
        <w:t xml:space="preserve"> </w:t>
      </w:r>
      <w:r w:rsidR="00664B85" w:rsidRPr="00631C1B">
        <w:t>This can make recording and reporting wellbeing according to SHANARRI indicators problematic</w:t>
      </w:r>
      <w:r w:rsidR="003A6304" w:rsidRPr="00631C1B">
        <w:t xml:space="preserve">. As with the other outcomes, discussions with projects indicated that it is likely these were underrepresented in the quantitative reports, but </w:t>
      </w:r>
      <w:r w:rsidR="004C7362" w:rsidRPr="00631C1B">
        <w:t xml:space="preserve">the qualitative accounts of participants’ development more clearly </w:t>
      </w:r>
      <w:r w:rsidR="00AD2DC1" w:rsidRPr="00631C1B">
        <w:t xml:space="preserve">represented outcomes across the different SHANARRI dimensions. </w:t>
      </w:r>
      <w:r w:rsidR="00664B85" w:rsidRPr="00631C1B">
        <w:t xml:space="preserve"> </w:t>
      </w:r>
    </w:p>
    <w:p w14:paraId="3F1CAA58" w14:textId="71F274A3" w:rsidR="0094744B" w:rsidRPr="00631C1B" w:rsidRDefault="00BD2E41" w:rsidP="0094744B">
      <w:pPr>
        <w:pStyle w:val="Subheadingnonumber"/>
      </w:pPr>
      <w:r w:rsidRPr="00631C1B">
        <w:t>Key findings</w:t>
      </w:r>
      <w:r w:rsidR="00FF113F" w:rsidRPr="00631C1B">
        <w:t xml:space="preserve"> for Year 3</w:t>
      </w:r>
    </w:p>
    <w:p w14:paraId="60397C01" w14:textId="708C3562" w:rsidR="00BD2E41" w:rsidRPr="00631C1B" w:rsidRDefault="00BD2E41" w:rsidP="0094744B">
      <w:pPr>
        <w:pStyle w:val="BodyText"/>
        <w:rPr>
          <w:b/>
        </w:rPr>
      </w:pPr>
      <w:r w:rsidRPr="00631C1B">
        <w:rPr>
          <w:b/>
        </w:rPr>
        <w:t xml:space="preserve">Targeted </w:t>
      </w:r>
      <w:r w:rsidR="00D9228C" w:rsidRPr="00631C1B">
        <w:rPr>
          <w:b/>
        </w:rPr>
        <w:t>F</w:t>
      </w:r>
      <w:r w:rsidRPr="00631C1B">
        <w:rPr>
          <w:b/>
        </w:rPr>
        <w:t>und</w:t>
      </w:r>
    </w:p>
    <w:p w14:paraId="475C3577" w14:textId="606609E3" w:rsidR="004C6C68" w:rsidRPr="00631C1B" w:rsidRDefault="004C6C68" w:rsidP="00EB1C5B">
      <w:pPr>
        <w:pStyle w:val="ListBullet"/>
      </w:pPr>
      <w:r w:rsidRPr="00631C1B">
        <w:t xml:space="preserve">In Year 3 of the </w:t>
      </w:r>
      <w:r w:rsidR="0003056F" w:rsidRPr="00631C1B">
        <w:t>programme</w:t>
      </w:r>
      <w:r w:rsidRPr="00631C1B">
        <w:t xml:space="preserve">, </w:t>
      </w:r>
      <w:r w:rsidR="005703F4" w:rsidRPr="00631C1B">
        <w:t>most</w:t>
      </w:r>
      <w:r w:rsidRPr="00631C1B">
        <w:t xml:space="preserve"> projects either met or surpassed their target</w:t>
      </w:r>
      <w:r w:rsidR="00341DED" w:rsidRPr="00631C1B">
        <w:t xml:space="preserve"> for improving participants’ wellbeing</w:t>
      </w:r>
      <w:r w:rsidRPr="00631C1B">
        <w:t xml:space="preserve">. </w:t>
      </w:r>
      <w:r w:rsidR="0003056F" w:rsidRPr="00631C1B">
        <w:t xml:space="preserve">This is significant given many </w:t>
      </w:r>
      <w:r w:rsidR="00960719" w:rsidRPr="00631C1B">
        <w:t xml:space="preserve">of the projects </w:t>
      </w:r>
      <w:r w:rsidR="0003056F" w:rsidRPr="00631C1B">
        <w:t xml:space="preserve">work with </w:t>
      </w:r>
      <w:r w:rsidR="00960719" w:rsidRPr="00631C1B">
        <w:t xml:space="preserve">participants </w:t>
      </w:r>
      <w:r w:rsidR="0003056F" w:rsidRPr="00631C1B">
        <w:t>with acute self-esteem and mental health problems</w:t>
      </w:r>
    </w:p>
    <w:p w14:paraId="47CB5326" w14:textId="44FCB354" w:rsidR="001D32FF" w:rsidRPr="00631C1B" w:rsidRDefault="001D32FF" w:rsidP="001D32FF">
      <w:pPr>
        <w:pStyle w:val="ListBullet"/>
      </w:pPr>
      <w:r w:rsidRPr="00631C1B">
        <w:t xml:space="preserve">Projects which had elements of physicality, such as dance and drama (e.g. </w:t>
      </w:r>
      <w:proofErr w:type="spellStart"/>
      <w:r w:rsidR="00B22080" w:rsidRPr="00631C1B">
        <w:t>YDance</w:t>
      </w:r>
      <w:proofErr w:type="spellEnd"/>
      <w:r w:rsidRPr="00631C1B">
        <w:t>), participants reported feeling healthier, both physically and mentally</w:t>
      </w:r>
    </w:p>
    <w:p w14:paraId="34251A25" w14:textId="69D43606" w:rsidR="00822677" w:rsidRPr="00631C1B" w:rsidRDefault="009A4146" w:rsidP="009A3F2B">
      <w:pPr>
        <w:pStyle w:val="ListBullet"/>
      </w:pPr>
      <w:r w:rsidRPr="00631C1B">
        <w:t>There were t</w:t>
      </w:r>
      <w:r w:rsidR="003C3756" w:rsidRPr="00631C1B">
        <w:t>wo</w:t>
      </w:r>
      <w:r w:rsidRPr="00631C1B">
        <w:t xml:space="preserve"> overarching challenges underlying</w:t>
      </w:r>
      <w:r w:rsidR="00930F08" w:rsidRPr="00631C1B">
        <w:t xml:space="preserve"> the project’s ability to</w:t>
      </w:r>
      <w:r w:rsidR="00EF4989" w:rsidRPr="00631C1B">
        <w:t xml:space="preserve"> improv</w:t>
      </w:r>
      <w:r w:rsidR="00930F08" w:rsidRPr="00631C1B">
        <w:t>e</w:t>
      </w:r>
      <w:r w:rsidR="00EF4989" w:rsidRPr="00631C1B">
        <w:t xml:space="preserve"> </w:t>
      </w:r>
      <w:r w:rsidR="00A5207C" w:rsidRPr="00631C1B">
        <w:t>participants’ wellbeing.</w:t>
      </w:r>
      <w:r w:rsidRPr="00631C1B">
        <w:t xml:space="preserve"> First, s</w:t>
      </w:r>
      <w:r w:rsidR="00822677" w:rsidRPr="00631C1B">
        <w:t>ome young people found larger groups difficult to cope</w:t>
      </w:r>
      <w:r w:rsidR="00A5207C" w:rsidRPr="00631C1B">
        <w:t xml:space="preserve"> with, instead requiring more </w:t>
      </w:r>
      <w:r w:rsidR="00DB7C1D" w:rsidRPr="00631C1B">
        <w:t>one to one attention</w:t>
      </w:r>
      <w:r w:rsidR="00A5207C" w:rsidRPr="00631C1B">
        <w:t>. Second,</w:t>
      </w:r>
      <w:r w:rsidR="00BC2388" w:rsidRPr="00631C1B">
        <w:t xml:space="preserve"> some organisations found </w:t>
      </w:r>
      <w:r w:rsidR="001978EF" w:rsidRPr="00631C1B">
        <w:t>the</w:t>
      </w:r>
      <w:r w:rsidR="00822677" w:rsidRPr="00631C1B">
        <w:t xml:space="preserve"> SHANARRI indicators</w:t>
      </w:r>
      <w:r w:rsidR="001978EF" w:rsidRPr="00631C1B">
        <w:t xml:space="preserve"> </w:t>
      </w:r>
      <w:r w:rsidR="00DB7C1D" w:rsidRPr="00631C1B">
        <w:t xml:space="preserve">to be </w:t>
      </w:r>
      <w:r w:rsidR="001978EF" w:rsidRPr="00631C1B">
        <w:t>an overwhelming framework</w:t>
      </w:r>
      <w:r w:rsidR="00822677" w:rsidRPr="00631C1B">
        <w:t xml:space="preserve">, where </w:t>
      </w:r>
      <w:r w:rsidR="00E25E78" w:rsidRPr="00631C1B">
        <w:t xml:space="preserve">certain indicators </w:t>
      </w:r>
      <w:r w:rsidR="00822677" w:rsidRPr="00631C1B">
        <w:t xml:space="preserve">were collected </w:t>
      </w:r>
      <w:r w:rsidR="00E906B3" w:rsidRPr="00631C1B">
        <w:t>and</w:t>
      </w:r>
      <w:r w:rsidR="00822677" w:rsidRPr="00631C1B">
        <w:t xml:space="preserve"> reflect</w:t>
      </w:r>
      <w:r w:rsidR="00E906B3" w:rsidRPr="00631C1B">
        <w:t>ive of progress</w:t>
      </w:r>
      <w:r w:rsidR="00822677" w:rsidRPr="00631C1B">
        <w:t xml:space="preserve">, whilst others </w:t>
      </w:r>
      <w:r w:rsidR="00E906B3" w:rsidRPr="00631C1B">
        <w:t xml:space="preserve">were </w:t>
      </w:r>
      <w:r w:rsidR="00E25E78" w:rsidRPr="00631C1B">
        <w:t>not relevant or quantifiable</w:t>
      </w:r>
    </w:p>
    <w:p w14:paraId="08E5A846" w14:textId="14226F9D" w:rsidR="00A20F80" w:rsidRPr="00631C1B" w:rsidRDefault="00EF7F8E" w:rsidP="009A3F2B">
      <w:pPr>
        <w:pStyle w:val="ListBullet"/>
      </w:pPr>
      <w:r w:rsidRPr="00631C1B">
        <w:t xml:space="preserve">There were </w:t>
      </w:r>
      <w:r w:rsidR="00E25E78" w:rsidRPr="00631C1B">
        <w:t xml:space="preserve">several </w:t>
      </w:r>
      <w:r w:rsidRPr="00631C1B">
        <w:t>s</w:t>
      </w:r>
      <w:r w:rsidR="006D6415" w:rsidRPr="00631C1B">
        <w:t>uccessful mech</w:t>
      </w:r>
      <w:r w:rsidR="00705CBA" w:rsidRPr="00631C1B">
        <w:t>anisms</w:t>
      </w:r>
      <w:r w:rsidRPr="00631C1B">
        <w:t xml:space="preserve"> organisations adopted</w:t>
      </w:r>
      <w:r w:rsidR="001978EF" w:rsidRPr="00631C1B">
        <w:t xml:space="preserve"> for improving </w:t>
      </w:r>
      <w:r w:rsidR="00AD7859" w:rsidRPr="00631C1B">
        <w:t>wellbeing amongst participants</w:t>
      </w:r>
      <w:r w:rsidR="005C4B01" w:rsidRPr="00631C1B">
        <w:t xml:space="preserve">. </w:t>
      </w:r>
      <w:r w:rsidR="00A600C5" w:rsidRPr="00631C1B">
        <w:t xml:space="preserve">These included </w:t>
      </w:r>
      <w:r w:rsidR="005C4B01" w:rsidRPr="00631C1B">
        <w:t>f</w:t>
      </w:r>
      <w:r w:rsidR="00822677" w:rsidRPr="00631C1B">
        <w:t>ocus</w:t>
      </w:r>
      <w:r w:rsidR="00AD7859" w:rsidRPr="00631C1B">
        <w:t>ing</w:t>
      </w:r>
      <w:r w:rsidR="00822677" w:rsidRPr="00631C1B">
        <w:t xml:space="preserve"> on the environment</w:t>
      </w:r>
      <w:r w:rsidRPr="00631C1B">
        <w:t xml:space="preserve"> and </w:t>
      </w:r>
      <w:r w:rsidR="00822677" w:rsidRPr="00631C1B">
        <w:t>facilitating a 'safe space' for free expression, away from their busy lives</w:t>
      </w:r>
      <w:r w:rsidRPr="00631C1B">
        <w:t xml:space="preserve">. </w:t>
      </w:r>
      <w:r w:rsidR="00A600C5" w:rsidRPr="00631C1B">
        <w:t>S</w:t>
      </w:r>
      <w:r w:rsidR="00A20F80" w:rsidRPr="00631C1B">
        <w:t xml:space="preserve">econd, </w:t>
      </w:r>
      <w:r w:rsidR="005C4B01" w:rsidRPr="00631C1B">
        <w:t>finding an effective b</w:t>
      </w:r>
      <w:r w:rsidR="00822677" w:rsidRPr="00631C1B">
        <w:t>alance between fun and calm</w:t>
      </w:r>
      <w:r w:rsidR="00AF32BA" w:rsidRPr="00631C1B">
        <w:t xml:space="preserve">. </w:t>
      </w:r>
      <w:r w:rsidR="00AF32BA" w:rsidRPr="00631C1B">
        <w:t>Third, programming in p</w:t>
      </w:r>
      <w:r w:rsidR="00822677" w:rsidRPr="00631C1B">
        <w:t>ublic screening</w:t>
      </w:r>
      <w:r w:rsidR="00AF32BA" w:rsidRPr="00631C1B">
        <w:t>, presentations</w:t>
      </w:r>
      <w:r w:rsidR="00822677" w:rsidRPr="00631C1B">
        <w:t xml:space="preserve"> and events</w:t>
      </w:r>
      <w:r w:rsidR="00AF32BA" w:rsidRPr="00631C1B">
        <w:t xml:space="preserve"> as </w:t>
      </w:r>
      <w:r w:rsidR="00E666B3" w:rsidRPr="00631C1B">
        <w:t xml:space="preserve">a </w:t>
      </w:r>
      <w:r w:rsidR="00AF32BA" w:rsidRPr="00631C1B">
        <w:rPr>
          <w:color w:val="000000" w:themeColor="text1"/>
        </w:rPr>
        <w:t>way for</w:t>
      </w:r>
      <w:r w:rsidR="00822677" w:rsidRPr="00631C1B">
        <w:rPr>
          <w:color w:val="000000" w:themeColor="text1"/>
        </w:rPr>
        <w:t xml:space="preserve"> developing self-esteem</w:t>
      </w:r>
      <w:r w:rsidR="00AF32BA" w:rsidRPr="00631C1B">
        <w:rPr>
          <w:color w:val="000000" w:themeColor="text1"/>
        </w:rPr>
        <w:t xml:space="preserve"> and </w:t>
      </w:r>
      <w:r w:rsidR="00822677" w:rsidRPr="00631C1B">
        <w:rPr>
          <w:color w:val="000000" w:themeColor="text1"/>
        </w:rPr>
        <w:t>validation of</w:t>
      </w:r>
      <w:r w:rsidR="00AF32BA" w:rsidRPr="00631C1B">
        <w:rPr>
          <w:color w:val="000000" w:themeColor="text1"/>
        </w:rPr>
        <w:t xml:space="preserve"> their </w:t>
      </w:r>
      <w:r w:rsidR="00822677" w:rsidRPr="00631C1B">
        <w:rPr>
          <w:color w:val="000000" w:themeColor="text1"/>
        </w:rPr>
        <w:t>creative identities</w:t>
      </w:r>
      <w:r w:rsidR="00A20F80" w:rsidRPr="00631C1B">
        <w:rPr>
          <w:color w:val="000000" w:themeColor="text1"/>
        </w:rPr>
        <w:t>.</w:t>
      </w:r>
    </w:p>
    <w:p w14:paraId="6D754D0F" w14:textId="459285CD" w:rsidR="00A20F80" w:rsidRPr="00631C1B" w:rsidRDefault="00A20F80" w:rsidP="009A3F2B">
      <w:pPr>
        <w:pStyle w:val="Quotesmall"/>
      </w:pPr>
      <w:r w:rsidRPr="00631C1B">
        <w:tab/>
      </w:r>
      <w:r w:rsidRPr="00631C1B">
        <w:rPr>
          <w:noProof/>
          <w:lang w:eastAsia="en-GB"/>
        </w:rPr>
        <w:drawing>
          <wp:inline distT="0" distB="0" distL="0" distR="0" wp14:anchorId="481A2B2A" wp14:editId="2EF6C7B2">
            <wp:extent cx="197640" cy="1569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[The tutor] made a massive positive impact in my life and made sure I would keep fighting when I didn’t think it was possible. Every time I came to class [The tutor] would always make sure I leave with a smile on my face! It was always my highlight of the week.</w:t>
      </w:r>
    </w:p>
    <w:p w14:paraId="76687BA0" w14:textId="2560D811" w:rsidR="00A20F80" w:rsidRPr="00631C1B" w:rsidRDefault="00A20F80" w:rsidP="00EB1C5B">
      <w:pPr>
        <w:pStyle w:val="ListParagraph"/>
        <w:numPr>
          <w:ilvl w:val="0"/>
          <w:numId w:val="5"/>
        </w:numPr>
        <w:jc w:val="right"/>
        <w:rPr>
          <w:iCs/>
          <w:color w:val="3C5896" w:themeColor="accent1"/>
          <w:sz w:val="21"/>
        </w:rPr>
      </w:pPr>
      <w:r w:rsidRPr="00631C1B">
        <w:rPr>
          <w:iCs/>
          <w:color w:val="3C5896" w:themeColor="accent1"/>
          <w:sz w:val="21"/>
        </w:rPr>
        <w:t xml:space="preserve">Participant, </w:t>
      </w:r>
      <w:proofErr w:type="spellStart"/>
      <w:r w:rsidRPr="00631C1B">
        <w:rPr>
          <w:iCs/>
          <w:color w:val="3C5896" w:themeColor="accent1"/>
          <w:sz w:val="21"/>
        </w:rPr>
        <w:t>YDance</w:t>
      </w:r>
      <w:proofErr w:type="spellEnd"/>
      <w:r w:rsidRPr="00631C1B">
        <w:rPr>
          <w:iCs/>
          <w:color w:val="3C5896" w:themeColor="accent1"/>
          <w:sz w:val="21"/>
        </w:rPr>
        <w:t xml:space="preserve"> (Targeted Fund)</w:t>
      </w:r>
    </w:p>
    <w:p w14:paraId="750CBDCB" w14:textId="77777777" w:rsidR="00B64858" w:rsidRPr="00631C1B" w:rsidRDefault="00B64858" w:rsidP="00BD2E41">
      <w:pPr>
        <w:pStyle w:val="BodyText"/>
        <w:rPr>
          <w:b/>
        </w:rPr>
      </w:pPr>
    </w:p>
    <w:p w14:paraId="232DECEE" w14:textId="0CC823A9" w:rsidR="00BD2E41" w:rsidRPr="00631C1B" w:rsidRDefault="00BD2E41" w:rsidP="00BD2E41">
      <w:pPr>
        <w:pStyle w:val="BodyText"/>
        <w:rPr>
          <w:b/>
        </w:rPr>
      </w:pPr>
      <w:r w:rsidRPr="00631C1B">
        <w:rPr>
          <w:b/>
        </w:rPr>
        <w:t>Open Fund</w:t>
      </w:r>
    </w:p>
    <w:p w14:paraId="323476B2" w14:textId="55484D44" w:rsidR="005B1C0E" w:rsidRPr="00631C1B" w:rsidRDefault="005B1C0E" w:rsidP="005B1C0E">
      <w:pPr>
        <w:pStyle w:val="ListBullet"/>
      </w:pPr>
      <w:r w:rsidRPr="00631C1B">
        <w:t>Increased skills, networks and attainment, as well as greater aspirations had a direct impact on their wellbeing</w:t>
      </w:r>
      <w:r w:rsidR="00866F5E" w:rsidRPr="00631C1B">
        <w:t xml:space="preserve">. </w:t>
      </w:r>
      <w:r w:rsidRPr="00631C1B">
        <w:t>Listen Lanarkshire</w:t>
      </w:r>
      <w:r w:rsidR="00866F5E" w:rsidRPr="00631C1B">
        <w:t xml:space="preserve"> participants spoke of how they felt more positive about themselves </w:t>
      </w:r>
      <w:r w:rsidR="004735E0" w:rsidRPr="00631C1B">
        <w:t>now they feel equipped with new</w:t>
      </w:r>
      <w:r w:rsidR="00B459A6" w:rsidRPr="00631C1B">
        <w:t xml:space="preserve"> radio technical </w:t>
      </w:r>
      <w:r w:rsidR="004735E0" w:rsidRPr="00631C1B">
        <w:t xml:space="preserve">skills and a </w:t>
      </w:r>
      <w:r w:rsidR="00B459A6" w:rsidRPr="00631C1B">
        <w:t>‘</w:t>
      </w:r>
      <w:r w:rsidR="004735E0" w:rsidRPr="00631C1B">
        <w:t>path to follow</w:t>
      </w:r>
      <w:r w:rsidR="00B459A6" w:rsidRPr="00631C1B">
        <w:t>’</w:t>
      </w:r>
    </w:p>
    <w:p w14:paraId="21BA6B8C" w14:textId="1EC9367E" w:rsidR="005B1C0E" w:rsidRPr="00631C1B" w:rsidRDefault="00B459A6" w:rsidP="00EB1C5B">
      <w:pPr>
        <w:pStyle w:val="ListBullet"/>
      </w:pPr>
      <w:r w:rsidRPr="00631C1B">
        <w:t>Like some Targeted Fund projects, i</w:t>
      </w:r>
      <w:r w:rsidR="004735E0" w:rsidRPr="00631C1B">
        <w:t>t was noted that c</w:t>
      </w:r>
      <w:r w:rsidR="005B1C0E" w:rsidRPr="00631C1B">
        <w:t xml:space="preserve">ertain artforms fit </w:t>
      </w:r>
      <w:r w:rsidR="004829BF" w:rsidRPr="00631C1B">
        <w:t xml:space="preserve">particularly </w:t>
      </w:r>
      <w:r w:rsidR="005B1C0E" w:rsidRPr="00631C1B">
        <w:t>well with the SHANARRI</w:t>
      </w:r>
      <w:r w:rsidR="00182450" w:rsidRPr="00631C1B">
        <w:t xml:space="preserve"> wellbeing </w:t>
      </w:r>
      <w:r w:rsidR="005B1C0E" w:rsidRPr="00631C1B">
        <w:t>indicators</w:t>
      </w:r>
      <w:r w:rsidR="00182450" w:rsidRPr="00631C1B">
        <w:t xml:space="preserve">. As a principally physical artform, </w:t>
      </w:r>
      <w:proofErr w:type="spellStart"/>
      <w:r w:rsidR="005B1C0E" w:rsidRPr="00631C1B">
        <w:t>Capall</w:t>
      </w:r>
      <w:proofErr w:type="spellEnd"/>
      <w:r w:rsidR="005B1C0E" w:rsidRPr="00631C1B">
        <w:t xml:space="preserve"> </w:t>
      </w:r>
      <w:proofErr w:type="spellStart"/>
      <w:r w:rsidR="005B1C0E" w:rsidRPr="00631C1B">
        <w:t>Dorcha</w:t>
      </w:r>
      <w:proofErr w:type="spellEnd"/>
      <w:r w:rsidR="005B1C0E" w:rsidRPr="00631C1B">
        <w:t xml:space="preserve"> Theatre Company</w:t>
      </w:r>
      <w:r w:rsidR="00182450" w:rsidRPr="00631C1B">
        <w:t xml:space="preserve"> spoke of how </w:t>
      </w:r>
      <w:r w:rsidR="004829BF" w:rsidRPr="00631C1B">
        <w:t>theatre performance</w:t>
      </w:r>
      <w:r w:rsidR="00182450" w:rsidRPr="00631C1B">
        <w:t xml:space="preserve"> enabled</w:t>
      </w:r>
      <w:r w:rsidR="004829BF" w:rsidRPr="00631C1B">
        <w:t xml:space="preserve"> participants t</w:t>
      </w:r>
      <w:r w:rsidR="008658BC" w:rsidRPr="00631C1B">
        <w:t xml:space="preserve">o be active, </w:t>
      </w:r>
      <w:r w:rsidR="00922CAC" w:rsidRPr="00631C1B">
        <w:t>more healthy, included, and safe</w:t>
      </w:r>
    </w:p>
    <w:p w14:paraId="07BCAE62" w14:textId="0D297BEB" w:rsidR="005B1C0E" w:rsidRPr="00631C1B" w:rsidRDefault="00D63CBC" w:rsidP="005B1C0E">
      <w:pPr>
        <w:pStyle w:val="ListBullet"/>
      </w:pPr>
      <w:r w:rsidRPr="00631C1B">
        <w:t>Y</w:t>
      </w:r>
      <w:r w:rsidR="005B1C0E" w:rsidRPr="00631C1B">
        <w:t xml:space="preserve">oung people </w:t>
      </w:r>
      <w:r w:rsidRPr="00631C1B">
        <w:t xml:space="preserve">learned </w:t>
      </w:r>
      <w:r w:rsidR="005B1C0E" w:rsidRPr="00631C1B">
        <w:t>that creativity is a tool they can use to express themselves and ease anxieties and frustrations (</w:t>
      </w:r>
      <w:r w:rsidR="00B24070" w:rsidRPr="00631C1B">
        <w:t xml:space="preserve">e.g. </w:t>
      </w:r>
      <w:r w:rsidR="005B1C0E" w:rsidRPr="00631C1B">
        <w:t>Sparks of Genius)</w:t>
      </w:r>
    </w:p>
    <w:p w14:paraId="407B1DF9" w14:textId="650B727A" w:rsidR="00080203" w:rsidRPr="00631C1B" w:rsidRDefault="00D927CA" w:rsidP="009A3F2B">
      <w:pPr>
        <w:pStyle w:val="ListBullet"/>
      </w:pPr>
      <w:r w:rsidRPr="00631C1B">
        <w:t xml:space="preserve">Throughout the sessions, many participants established a peer network </w:t>
      </w:r>
      <w:r w:rsidR="0004440A" w:rsidRPr="00631C1B">
        <w:t xml:space="preserve">with </w:t>
      </w:r>
      <w:r w:rsidRPr="00631C1B">
        <w:t>each</w:t>
      </w:r>
      <w:r w:rsidR="0004440A" w:rsidRPr="00631C1B">
        <w:t xml:space="preserve"> </w:t>
      </w:r>
      <w:r w:rsidRPr="00D768FF">
        <w:t>other, being able to freely discuss and work through their personal concerns and worries</w:t>
      </w:r>
      <w:r w:rsidR="00080203" w:rsidRPr="00D768FF">
        <w:t>,</w:t>
      </w:r>
      <w:r w:rsidRPr="00D768FF">
        <w:t xml:space="preserve"> independent of their home environment which may be challenging. TDI Music Project spoke of how group-led activities who learn together</w:t>
      </w:r>
      <w:r w:rsidR="00D768FF" w:rsidRPr="00D768FF">
        <w:t xml:space="preserve"> were able to share experiences and stories with each other, recognising mutual resilience to challenges</w:t>
      </w:r>
      <w:r w:rsidRPr="00D768FF">
        <w:t>. These networks had a positive impact on their personal wellbeing, as members were seen to share and reflect their own personal challenges</w:t>
      </w:r>
      <w:r w:rsidR="00A12B22" w:rsidRPr="00D768FF">
        <w:t xml:space="preserve"> with others</w:t>
      </w:r>
      <w:r w:rsidRPr="00D768FF">
        <w:t xml:space="preserve"> and therefore have higher levels of empathy</w:t>
      </w:r>
      <w:r w:rsidR="00080203" w:rsidRPr="00631C1B">
        <w:t>.</w:t>
      </w:r>
    </w:p>
    <w:p w14:paraId="4E399D91" w14:textId="0B83A3E4" w:rsidR="00080203" w:rsidRPr="00631C1B" w:rsidRDefault="00080203" w:rsidP="009A3F2B">
      <w:pPr>
        <w:pStyle w:val="Quotesmall"/>
      </w:pPr>
      <w:r w:rsidRPr="00631C1B">
        <w:lastRenderedPageBreak/>
        <w:tab/>
      </w:r>
      <w:r w:rsidRPr="00631C1B">
        <w:rPr>
          <w:noProof/>
          <w:lang w:eastAsia="en-GB"/>
        </w:rPr>
        <w:drawing>
          <wp:inline distT="0" distB="0" distL="0" distR="0" wp14:anchorId="135EA1CA" wp14:editId="30717B41">
            <wp:extent cx="197640" cy="1569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 xml:space="preserve">Being creative is a release, it’s allowing me to pore out my emotions into music making and performing and is a bit of mental </w:t>
      </w:r>
      <w:r w:rsidR="005458A3" w:rsidRPr="00631C1B">
        <w:t>respite</w:t>
      </w:r>
      <w:r w:rsidRPr="00631C1B">
        <w:t>.</w:t>
      </w:r>
    </w:p>
    <w:p w14:paraId="2A22BA5F" w14:textId="77777777" w:rsidR="00080203" w:rsidRPr="00631C1B" w:rsidRDefault="00080203" w:rsidP="00EB1C5B">
      <w:pPr>
        <w:pStyle w:val="ListParagraph"/>
        <w:numPr>
          <w:ilvl w:val="0"/>
          <w:numId w:val="5"/>
        </w:numPr>
        <w:rPr>
          <w:iCs/>
          <w:color w:val="3C5896" w:themeColor="accent1"/>
          <w:sz w:val="21"/>
        </w:rPr>
      </w:pPr>
      <w:r w:rsidRPr="00631C1B">
        <w:rPr>
          <w:iCs/>
          <w:color w:val="3C5896" w:themeColor="accent1"/>
          <w:sz w:val="21"/>
        </w:rPr>
        <w:t>Participant, M-Tech Paisley project by the YMCA (Open Fund)</w:t>
      </w:r>
    </w:p>
    <w:p w14:paraId="1908DA50" w14:textId="6A0FB7CA" w:rsidR="002C0BD1" w:rsidRPr="00631C1B" w:rsidRDefault="00FF113F" w:rsidP="002C0BD1">
      <w:pPr>
        <w:pStyle w:val="Subheadingnonumber"/>
      </w:pPr>
      <w:r w:rsidRPr="00631C1B">
        <w:t xml:space="preserve">Key findings </w:t>
      </w:r>
      <w:r w:rsidR="002C0BD1" w:rsidRPr="00631C1B">
        <w:t>for Targeted Fund across all years</w:t>
      </w:r>
    </w:p>
    <w:p w14:paraId="4E03524F" w14:textId="0C589852" w:rsidR="00FB0DE4" w:rsidRPr="00631C1B" w:rsidRDefault="00E44468" w:rsidP="009A3F2B">
      <w:pPr>
        <w:pStyle w:val="ListBullet"/>
      </w:pPr>
      <w:r w:rsidRPr="00631C1B">
        <w:t>By the end of the programme, most projects had either met or surpassed their target</w:t>
      </w:r>
      <w:r w:rsidR="00795E29" w:rsidRPr="00631C1B">
        <w:t xml:space="preserve">, with a </w:t>
      </w:r>
      <w:r w:rsidR="008138D5" w:rsidRPr="00631C1B">
        <w:t xml:space="preserve">high percentage reporting improvement in their </w:t>
      </w:r>
      <w:r w:rsidR="00FB0DE4" w:rsidRPr="00631C1B">
        <w:t>wellb</w:t>
      </w:r>
      <w:r w:rsidR="00CE12AF" w:rsidRPr="00631C1B">
        <w:t>e</w:t>
      </w:r>
      <w:r w:rsidR="00FB0DE4" w:rsidRPr="00631C1B">
        <w:t>ing</w:t>
      </w:r>
      <w:r w:rsidR="008138D5" w:rsidRPr="00631C1B">
        <w:t xml:space="preserve">. </w:t>
      </w:r>
      <w:r w:rsidR="00795E29" w:rsidRPr="00631C1B">
        <w:t>This is s</w:t>
      </w:r>
      <w:r w:rsidR="00FB0DE4" w:rsidRPr="00631C1B">
        <w:t>igni</w:t>
      </w:r>
      <w:r w:rsidR="00795E29" w:rsidRPr="00631C1B">
        <w:t>fi</w:t>
      </w:r>
      <w:r w:rsidR="00FB0DE4" w:rsidRPr="00631C1B">
        <w:t xml:space="preserve">cant for the </w:t>
      </w:r>
      <w:r w:rsidR="00795E29" w:rsidRPr="00631C1B">
        <w:t xml:space="preserve">young people </w:t>
      </w:r>
      <w:r w:rsidR="00FB0DE4" w:rsidRPr="00631C1B">
        <w:t>they work with</w:t>
      </w:r>
      <w:r w:rsidR="00795E29" w:rsidRPr="00631C1B">
        <w:t xml:space="preserve">, </w:t>
      </w:r>
      <w:r w:rsidR="00FB0DE4" w:rsidRPr="00631C1B">
        <w:t xml:space="preserve">who </w:t>
      </w:r>
      <w:r w:rsidR="00795E29" w:rsidRPr="00631C1B">
        <w:t xml:space="preserve">often </w:t>
      </w:r>
      <w:r w:rsidR="00FB0DE4" w:rsidRPr="00631C1B">
        <w:t>have acutely low self-esteem and personal</w:t>
      </w:r>
      <w:r w:rsidR="00795E29" w:rsidRPr="00631C1B">
        <w:t>,</w:t>
      </w:r>
      <w:r w:rsidR="00FB0DE4" w:rsidRPr="00631C1B">
        <w:t xml:space="preserve"> </w:t>
      </w:r>
      <w:r w:rsidR="00795E29" w:rsidRPr="00631C1B">
        <w:t>familial</w:t>
      </w:r>
      <w:r w:rsidR="00FB0DE4" w:rsidRPr="00631C1B">
        <w:t xml:space="preserve"> and societ</w:t>
      </w:r>
      <w:r w:rsidR="00AD19CA" w:rsidRPr="00631C1B">
        <w:t xml:space="preserve">al </w:t>
      </w:r>
      <w:r w:rsidR="00FB0DE4" w:rsidRPr="00631C1B">
        <w:t>challenges</w:t>
      </w:r>
    </w:p>
    <w:p w14:paraId="6A6E3214" w14:textId="3D693B5C" w:rsidR="00CE12AF" w:rsidRPr="00631C1B" w:rsidRDefault="001A7E26" w:rsidP="00CE12AF">
      <w:pPr>
        <w:pStyle w:val="ListBullet"/>
        <w:rPr>
          <w:color w:val="FF0000"/>
        </w:rPr>
      </w:pPr>
      <w:r w:rsidRPr="00631C1B">
        <w:t>Successful projects observed how w</w:t>
      </w:r>
      <w:r w:rsidR="00FB0DE4" w:rsidRPr="00631C1B">
        <w:t>ellbeing was improve</w:t>
      </w:r>
      <w:r w:rsidRPr="00631C1B">
        <w:t>d</w:t>
      </w:r>
      <w:r w:rsidR="00FB0DE4" w:rsidRPr="00631C1B">
        <w:t xml:space="preserve"> chiefly through </w:t>
      </w:r>
      <w:r w:rsidR="00AD19CA" w:rsidRPr="00D768FF">
        <w:t xml:space="preserve">the participants </w:t>
      </w:r>
      <w:r w:rsidR="00D768FF" w:rsidRPr="00D768FF">
        <w:t>having</w:t>
      </w:r>
      <w:r w:rsidR="00AD19CA" w:rsidRPr="00631C1B">
        <w:t xml:space="preserve"> </w:t>
      </w:r>
      <w:r w:rsidR="00FB0DE4" w:rsidRPr="00631C1B">
        <w:t>something to look forward to, a project to work on, a way to express themselves, a</w:t>
      </w:r>
      <w:r w:rsidR="00E76090" w:rsidRPr="00631C1B">
        <w:t>s well as perceiving themselves as on a ‘</w:t>
      </w:r>
      <w:r w:rsidR="00FB0DE4" w:rsidRPr="00631C1B">
        <w:t>shared journey with others</w:t>
      </w:r>
      <w:r w:rsidR="00E76090" w:rsidRPr="00631C1B">
        <w:t xml:space="preserve">’, </w:t>
      </w:r>
      <w:r w:rsidR="00FB0DE4" w:rsidRPr="00631C1B">
        <w:t xml:space="preserve">especially those with mental health </w:t>
      </w:r>
      <w:r w:rsidR="00FB0DE4" w:rsidRPr="00631C1B">
        <w:rPr>
          <w:color w:val="000000" w:themeColor="text1"/>
        </w:rPr>
        <w:t>problems</w:t>
      </w:r>
      <w:r w:rsidR="00CE12AF" w:rsidRPr="00631C1B">
        <w:rPr>
          <w:color w:val="000000" w:themeColor="text1"/>
        </w:rPr>
        <w:t>. Some participants mention how artistic and creative processes were (informally) therapeutic for them</w:t>
      </w:r>
    </w:p>
    <w:p w14:paraId="24957D34" w14:textId="77777777" w:rsidR="005F753C" w:rsidRPr="00631C1B" w:rsidRDefault="005F753C" w:rsidP="005F753C">
      <w:pPr>
        <w:pStyle w:val="ListBullet"/>
      </w:pPr>
      <w:r w:rsidRPr="00631C1B">
        <w:t>Some projects reported achievements against ‘clusters’ of SHANARRI indicators, based on interviews with participants about ways the project had contributed to their experience on these terms</w:t>
      </w:r>
    </w:p>
    <w:p w14:paraId="03706A52" w14:textId="49384A08" w:rsidR="00FB0DE4" w:rsidRPr="00631C1B" w:rsidRDefault="00C5001A" w:rsidP="009A3F2B">
      <w:pPr>
        <w:pStyle w:val="ListBullet"/>
      </w:pPr>
      <w:r w:rsidRPr="00631C1B">
        <w:t xml:space="preserve">Reflecting at </w:t>
      </w:r>
      <w:r w:rsidR="002A4443" w:rsidRPr="00631C1B">
        <w:t>the end of the programme, t</w:t>
      </w:r>
      <w:r w:rsidR="007B41D6" w:rsidRPr="00631C1B">
        <w:t xml:space="preserve">here were </w:t>
      </w:r>
      <w:r w:rsidR="00FA4331" w:rsidRPr="00631C1B">
        <w:t xml:space="preserve">two </w:t>
      </w:r>
      <w:r w:rsidR="00A67FF5" w:rsidRPr="00631C1B">
        <w:t>overarching challenges underlying the project’s ability to improve participants’ wellbeing</w:t>
      </w:r>
      <w:r w:rsidR="007B41D6" w:rsidRPr="00631C1B">
        <w:t xml:space="preserve">. First, </w:t>
      </w:r>
      <w:r w:rsidR="00D234A5" w:rsidRPr="00631C1B">
        <w:t xml:space="preserve">as with other outcomes, </w:t>
      </w:r>
      <w:r w:rsidR="00A954EE" w:rsidRPr="00631C1B">
        <w:t xml:space="preserve">improving wellbeing </w:t>
      </w:r>
      <w:proofErr w:type="gramStart"/>
      <w:r w:rsidR="00A954EE" w:rsidRPr="00631C1B">
        <w:t>was s</w:t>
      </w:r>
      <w:r w:rsidR="0019522A" w:rsidRPr="00631C1B">
        <w:t>een as</w:t>
      </w:r>
      <w:proofErr w:type="gramEnd"/>
      <w:r w:rsidR="0019522A" w:rsidRPr="00631C1B">
        <w:t xml:space="preserve"> an outcome that needed to be measured over time</w:t>
      </w:r>
      <w:r w:rsidR="00E93ABD" w:rsidRPr="00631C1B">
        <w:t>,</w:t>
      </w:r>
      <w:r w:rsidR="00D234A5" w:rsidRPr="00631C1B">
        <w:t xml:space="preserve"> as it</w:t>
      </w:r>
      <w:r w:rsidR="001038D4" w:rsidRPr="00631C1B">
        <w:t>’s likely to varying from day to day</w:t>
      </w:r>
      <w:r w:rsidR="0019522A" w:rsidRPr="00631C1B">
        <w:t xml:space="preserve">, </w:t>
      </w:r>
      <w:r w:rsidR="009756C6" w:rsidRPr="00631C1B">
        <w:t>making sustained changes in wellbeing difficult to measure</w:t>
      </w:r>
      <w:r w:rsidR="00D234A5" w:rsidRPr="00631C1B">
        <w:t>.</w:t>
      </w:r>
      <w:r w:rsidR="001038D4" w:rsidRPr="00631C1B">
        <w:t xml:space="preserve"> Second, p</w:t>
      </w:r>
      <w:r w:rsidR="00FB0DE4" w:rsidRPr="00631C1B">
        <w:t>articipants only partially complet</w:t>
      </w:r>
      <w:r w:rsidR="00E93ABD" w:rsidRPr="00631C1B">
        <w:t>ing</w:t>
      </w:r>
      <w:r w:rsidR="00FB0DE4" w:rsidRPr="00631C1B">
        <w:t xml:space="preserve"> survey</w:t>
      </w:r>
      <w:r w:rsidR="00C643A1" w:rsidRPr="00631C1B">
        <w:t>s</w:t>
      </w:r>
      <w:r w:rsidR="00FB0DE4" w:rsidRPr="00631C1B">
        <w:t xml:space="preserve"> or not</w:t>
      </w:r>
      <w:r w:rsidR="00E93ABD" w:rsidRPr="00631C1B">
        <w:t xml:space="preserve"> taking part in</w:t>
      </w:r>
      <w:r w:rsidR="00FB0DE4" w:rsidRPr="00631C1B">
        <w:t xml:space="preserve"> the follow up</w:t>
      </w:r>
      <w:r w:rsidR="00E93ABD" w:rsidRPr="00631C1B">
        <w:t xml:space="preserve"> survey</w:t>
      </w:r>
      <w:r w:rsidR="000F33FF" w:rsidRPr="00631C1B">
        <w:t>.</w:t>
      </w:r>
      <w:r w:rsidR="00E93ABD" w:rsidRPr="00631C1B">
        <w:t xml:space="preserve"> </w:t>
      </w:r>
      <w:r w:rsidR="00336C24" w:rsidRPr="00631C1B">
        <w:t xml:space="preserve">This was a specific challenge for this outcome, </w:t>
      </w:r>
      <w:r w:rsidR="00FB0DE4" w:rsidRPr="00631C1B">
        <w:t>given the breadth of SHANARRI indicators</w:t>
      </w:r>
      <w:r w:rsidR="001A7B2C" w:rsidRPr="00631C1B">
        <w:t xml:space="preserve">. </w:t>
      </w:r>
    </w:p>
    <w:p w14:paraId="39E7C67E" w14:textId="0F7CDE0A" w:rsidR="00690EE9" w:rsidRPr="00631C1B" w:rsidRDefault="00C5001A" w:rsidP="00EB1C5B">
      <w:pPr>
        <w:pStyle w:val="ListBullet"/>
      </w:pPr>
      <w:r w:rsidRPr="00631C1B">
        <w:t>Reflecting at the end of the programme, t</w:t>
      </w:r>
      <w:r w:rsidR="005F753C" w:rsidRPr="00631C1B">
        <w:t xml:space="preserve">here were </w:t>
      </w:r>
      <w:r w:rsidR="00952A80" w:rsidRPr="00631C1B">
        <w:t>several</w:t>
      </w:r>
      <w:r w:rsidR="005F753C" w:rsidRPr="00631C1B">
        <w:t xml:space="preserve"> successful mechanisms organisations adopted for improving wellbeing amongst participants. </w:t>
      </w:r>
      <w:r w:rsidR="000C0592" w:rsidRPr="00631C1B">
        <w:t xml:space="preserve">These included </w:t>
      </w:r>
      <w:r w:rsidR="005F753C" w:rsidRPr="00631C1B">
        <w:t>w</w:t>
      </w:r>
      <w:r w:rsidR="00FB0DE4" w:rsidRPr="00631C1B">
        <w:t>orking in close partnership with key workers, support services, teachers, carers and parents</w:t>
      </w:r>
      <w:r w:rsidR="00304C65" w:rsidRPr="00631C1B">
        <w:t xml:space="preserve"> to </w:t>
      </w:r>
      <w:r w:rsidR="00FB0DE4" w:rsidRPr="00631C1B">
        <w:t xml:space="preserve">enable organisations to </w:t>
      </w:r>
      <w:r w:rsidR="00FB0DE4" w:rsidRPr="00631C1B">
        <w:t xml:space="preserve">meet the specific </w:t>
      </w:r>
      <w:r w:rsidR="00304C65" w:rsidRPr="00631C1B">
        <w:t>and personal needs of the young people. S</w:t>
      </w:r>
      <w:r w:rsidR="000C0592" w:rsidRPr="00631C1B">
        <w:t>imilarly,</w:t>
      </w:r>
      <w:r w:rsidR="00304C65" w:rsidRPr="00631C1B">
        <w:t xml:space="preserve"> </w:t>
      </w:r>
      <w:r w:rsidR="00952A80" w:rsidRPr="00631C1B">
        <w:t xml:space="preserve">facilitating the </w:t>
      </w:r>
      <w:r w:rsidR="00304C65" w:rsidRPr="00631C1B">
        <w:t>m</w:t>
      </w:r>
      <w:r w:rsidR="00FB0DE4" w:rsidRPr="00631C1B">
        <w:t>eeting</w:t>
      </w:r>
      <w:r w:rsidR="00952A80" w:rsidRPr="00631C1B">
        <w:t xml:space="preserve"> of participants </w:t>
      </w:r>
      <w:r w:rsidR="00FB0DE4" w:rsidRPr="00631C1B">
        <w:t>with similar interests and concerns</w:t>
      </w:r>
      <w:r w:rsidR="00952A80" w:rsidRPr="00631C1B">
        <w:t>,</w:t>
      </w:r>
      <w:r w:rsidR="00FB0DE4" w:rsidRPr="00631C1B">
        <w:t xml:space="preserve"> help</w:t>
      </w:r>
      <w:r w:rsidR="00952A80" w:rsidRPr="00631C1B">
        <w:t>ing</w:t>
      </w:r>
      <w:r w:rsidR="00FB0DE4" w:rsidRPr="00631C1B">
        <w:t xml:space="preserve"> them to build </w:t>
      </w:r>
      <w:r w:rsidR="00F83533" w:rsidRPr="00631C1B">
        <w:t xml:space="preserve">communities </w:t>
      </w:r>
      <w:r w:rsidR="00FB0DE4" w:rsidRPr="00631C1B">
        <w:t>and networks of support</w:t>
      </w:r>
      <w:r w:rsidR="00CE12AF" w:rsidRPr="00631C1B">
        <w:t>.</w:t>
      </w:r>
    </w:p>
    <w:p w14:paraId="2E8F450B" w14:textId="77777777" w:rsidR="00FF113F" w:rsidRPr="00631C1B" w:rsidRDefault="00FF113F" w:rsidP="00D55BDF">
      <w:pPr>
        <w:pStyle w:val="ListBullet"/>
        <w:numPr>
          <w:ilvl w:val="0"/>
          <w:numId w:val="0"/>
        </w:numPr>
        <w:ind w:left="284" w:hanging="284"/>
      </w:pPr>
    </w:p>
    <w:p w14:paraId="3A74EC8A" w14:textId="1058DFAB" w:rsidR="00AC4A62" w:rsidRPr="00631C1B" w:rsidRDefault="00AC4A62" w:rsidP="00AC4A62">
      <w:pPr>
        <w:pStyle w:val="Caption"/>
      </w:pPr>
      <w:bookmarkStart w:id="38" w:name="_Toc42266748"/>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13</w:t>
      </w:r>
      <w:r w:rsidRPr="00631C1B">
        <w:rPr>
          <w:noProof/>
        </w:rPr>
        <w:fldChar w:fldCharType="end"/>
      </w:r>
      <w:r w:rsidRPr="00631C1B">
        <w:t xml:space="preserve">  Progress towards targets in improving participants’ wellbeing – based on grant offer letter – Year 3</w:t>
      </w:r>
      <w:bookmarkEnd w:id="38"/>
    </w:p>
    <w:tbl>
      <w:tblPr>
        <w:tblStyle w:val="BOPtable"/>
        <w:tblW w:w="7229" w:type="dxa"/>
        <w:tblLook w:val="04A0" w:firstRow="1" w:lastRow="0" w:firstColumn="1" w:lastColumn="0" w:noHBand="0" w:noVBand="1"/>
      </w:tblPr>
      <w:tblGrid>
        <w:gridCol w:w="1262"/>
        <w:gridCol w:w="717"/>
        <w:gridCol w:w="751"/>
        <w:gridCol w:w="1103"/>
        <w:gridCol w:w="876"/>
        <w:gridCol w:w="789"/>
        <w:gridCol w:w="751"/>
        <w:gridCol w:w="980"/>
      </w:tblGrid>
      <w:tr w:rsidR="00AA770D" w:rsidRPr="00631C1B" w14:paraId="7E5BF7D5" w14:textId="77777777" w:rsidTr="00AA770D">
        <w:trPr>
          <w:cnfStyle w:val="100000000000" w:firstRow="1" w:lastRow="0" w:firstColumn="0" w:lastColumn="0" w:oddVBand="0" w:evenVBand="0" w:oddHBand="0" w:evenHBand="0" w:firstRowFirstColumn="0" w:firstRowLastColumn="0" w:lastRowFirstColumn="0" w:lastRowLastColumn="0"/>
          <w:trHeight w:val="327"/>
        </w:trPr>
        <w:tc>
          <w:tcPr>
            <w:tcW w:w="1262" w:type="dxa"/>
            <w:tcBorders>
              <w:right w:val="single" w:sz="4" w:space="0" w:color="000000" w:themeColor="text1"/>
            </w:tcBorders>
          </w:tcPr>
          <w:p w14:paraId="32A34FA9" w14:textId="77777777" w:rsidR="00AA770D" w:rsidRPr="00631C1B" w:rsidRDefault="00AA770D" w:rsidP="009A3F2B"/>
        </w:tc>
        <w:tc>
          <w:tcPr>
            <w:tcW w:w="1468" w:type="dxa"/>
            <w:gridSpan w:val="2"/>
            <w:tcBorders>
              <w:left w:val="single" w:sz="4" w:space="0" w:color="000000" w:themeColor="text1"/>
              <w:right w:val="single" w:sz="4" w:space="0" w:color="000000" w:themeColor="text1"/>
            </w:tcBorders>
          </w:tcPr>
          <w:p w14:paraId="3E33E4F4" w14:textId="77777777" w:rsidR="00AA770D" w:rsidRPr="00631C1B" w:rsidRDefault="00AA770D" w:rsidP="009A3F2B">
            <w:pPr>
              <w:jc w:val="center"/>
            </w:pPr>
            <w:r w:rsidRPr="00631C1B">
              <w:t>Targeted Fund</w:t>
            </w:r>
          </w:p>
        </w:tc>
        <w:tc>
          <w:tcPr>
            <w:tcW w:w="1979" w:type="dxa"/>
            <w:gridSpan w:val="2"/>
            <w:tcBorders>
              <w:left w:val="single" w:sz="4" w:space="0" w:color="000000" w:themeColor="text1"/>
              <w:right w:val="single" w:sz="4" w:space="0" w:color="000000" w:themeColor="text1"/>
            </w:tcBorders>
          </w:tcPr>
          <w:p w14:paraId="67E34752" w14:textId="77777777" w:rsidR="00AA770D" w:rsidRPr="00631C1B" w:rsidRDefault="00AA770D" w:rsidP="009A3F2B">
            <w:pPr>
              <w:jc w:val="center"/>
            </w:pPr>
            <w:r w:rsidRPr="00631C1B">
              <w:t>Open Fund</w:t>
            </w:r>
          </w:p>
        </w:tc>
        <w:tc>
          <w:tcPr>
            <w:tcW w:w="1540" w:type="dxa"/>
            <w:gridSpan w:val="2"/>
            <w:tcBorders>
              <w:left w:val="single" w:sz="4" w:space="0" w:color="000000" w:themeColor="text1"/>
              <w:right w:val="single" w:sz="4" w:space="0" w:color="000000" w:themeColor="text1"/>
            </w:tcBorders>
          </w:tcPr>
          <w:p w14:paraId="1533F719" w14:textId="77777777" w:rsidR="00AA770D" w:rsidRPr="00631C1B" w:rsidRDefault="00AA770D" w:rsidP="009A3F2B">
            <w:pPr>
              <w:jc w:val="center"/>
              <w:rPr>
                <w:b w:val="0"/>
              </w:rPr>
            </w:pPr>
            <w:r w:rsidRPr="00631C1B">
              <w:t>Programme</w:t>
            </w:r>
          </w:p>
          <w:p w14:paraId="059B398D" w14:textId="77777777" w:rsidR="00AA770D" w:rsidRPr="00631C1B" w:rsidRDefault="00AA770D" w:rsidP="009A3F2B">
            <w:pPr>
              <w:jc w:val="center"/>
            </w:pPr>
            <w:r w:rsidRPr="00631C1B">
              <w:t>Total</w:t>
            </w:r>
          </w:p>
        </w:tc>
        <w:tc>
          <w:tcPr>
            <w:tcW w:w="980" w:type="dxa"/>
          </w:tcPr>
          <w:p w14:paraId="020113A9" w14:textId="77777777" w:rsidR="00AA770D" w:rsidRPr="00631C1B" w:rsidRDefault="00AA770D" w:rsidP="009A3F2B">
            <w:pPr>
              <w:jc w:val="center"/>
            </w:pPr>
          </w:p>
        </w:tc>
      </w:tr>
      <w:tr w:rsidR="00AA770D" w:rsidRPr="00631C1B" w14:paraId="2D9F5A34" w14:textId="77777777" w:rsidTr="00AA770D">
        <w:trPr>
          <w:trHeight w:val="596"/>
        </w:trPr>
        <w:tc>
          <w:tcPr>
            <w:tcW w:w="1262" w:type="dxa"/>
            <w:tcBorders>
              <w:top w:val="single" w:sz="12" w:space="0" w:color="3C5896" w:themeColor="accent1"/>
              <w:bottom w:val="single" w:sz="12" w:space="0" w:color="3C5896" w:themeColor="accent1"/>
              <w:right w:val="single" w:sz="4" w:space="0" w:color="000000" w:themeColor="text1"/>
            </w:tcBorders>
          </w:tcPr>
          <w:p w14:paraId="293FA47D" w14:textId="77777777" w:rsidR="00AA770D" w:rsidRPr="00631C1B" w:rsidRDefault="00AA770D" w:rsidP="009A3F2B"/>
        </w:tc>
        <w:tc>
          <w:tcPr>
            <w:tcW w:w="717"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09960E6E" w14:textId="77777777" w:rsidR="00AA770D" w:rsidRPr="00631C1B" w:rsidRDefault="00AA770D" w:rsidP="009A3F2B">
            <w:pPr>
              <w:jc w:val="center"/>
              <w:rPr>
                <w:b/>
                <w:color w:val="3C5896"/>
                <w:sz w:val="18"/>
                <w:szCs w:val="18"/>
              </w:rPr>
            </w:pPr>
            <w:r w:rsidRPr="00631C1B">
              <w:rPr>
                <w:b/>
                <w:color w:val="3C5896"/>
                <w:sz w:val="18"/>
                <w:szCs w:val="18"/>
              </w:rPr>
              <w:t>Grant offer letter target</w:t>
            </w:r>
          </w:p>
        </w:tc>
        <w:tc>
          <w:tcPr>
            <w:tcW w:w="751"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5CB43C38" w14:textId="77777777" w:rsidR="00AA770D" w:rsidRPr="00631C1B" w:rsidRDefault="00AA770D" w:rsidP="009A3F2B">
            <w:pPr>
              <w:jc w:val="center"/>
              <w:rPr>
                <w:b/>
                <w:color w:val="3C5896"/>
                <w:sz w:val="18"/>
                <w:szCs w:val="18"/>
              </w:rPr>
            </w:pPr>
            <w:r w:rsidRPr="00631C1B">
              <w:rPr>
                <w:b/>
                <w:color w:val="3C5896"/>
                <w:sz w:val="18"/>
                <w:szCs w:val="18"/>
              </w:rPr>
              <w:t>Actual</w:t>
            </w:r>
          </w:p>
        </w:tc>
        <w:tc>
          <w:tcPr>
            <w:tcW w:w="1103"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09771B45" w14:textId="77777777" w:rsidR="00AA770D" w:rsidRPr="00631C1B" w:rsidRDefault="00AA770D" w:rsidP="009A3F2B">
            <w:pPr>
              <w:jc w:val="center"/>
              <w:rPr>
                <w:b/>
                <w:color w:val="3C5896"/>
                <w:sz w:val="18"/>
                <w:szCs w:val="18"/>
              </w:rPr>
            </w:pPr>
            <w:r w:rsidRPr="00631C1B">
              <w:rPr>
                <w:b/>
                <w:color w:val="3C5896"/>
                <w:sz w:val="18"/>
                <w:szCs w:val="18"/>
              </w:rPr>
              <w:t>Grant offer letter target</w:t>
            </w:r>
          </w:p>
        </w:tc>
        <w:tc>
          <w:tcPr>
            <w:tcW w:w="876"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395DE143" w14:textId="77777777" w:rsidR="00AA770D" w:rsidRPr="00631C1B" w:rsidRDefault="00AA770D" w:rsidP="009A3F2B">
            <w:pPr>
              <w:jc w:val="center"/>
              <w:rPr>
                <w:b/>
                <w:color w:val="3C5896"/>
                <w:sz w:val="18"/>
                <w:szCs w:val="18"/>
              </w:rPr>
            </w:pPr>
            <w:r w:rsidRPr="00631C1B">
              <w:rPr>
                <w:b/>
                <w:color w:val="3C5896"/>
                <w:sz w:val="18"/>
                <w:szCs w:val="18"/>
              </w:rPr>
              <w:t>Actual</w:t>
            </w:r>
          </w:p>
        </w:tc>
        <w:tc>
          <w:tcPr>
            <w:tcW w:w="789"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61978DD8" w14:textId="77777777" w:rsidR="00AA770D" w:rsidRPr="00631C1B" w:rsidRDefault="00AA770D" w:rsidP="009A3F2B">
            <w:pPr>
              <w:jc w:val="center"/>
              <w:rPr>
                <w:b/>
                <w:color w:val="3C5896"/>
                <w:sz w:val="18"/>
                <w:szCs w:val="18"/>
              </w:rPr>
            </w:pPr>
            <w:r w:rsidRPr="00631C1B">
              <w:rPr>
                <w:b/>
                <w:color w:val="3C5896"/>
                <w:sz w:val="18"/>
                <w:szCs w:val="18"/>
              </w:rPr>
              <w:t>Grant offer letter target</w:t>
            </w:r>
          </w:p>
        </w:tc>
        <w:tc>
          <w:tcPr>
            <w:tcW w:w="751"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0E2994C1" w14:textId="77777777" w:rsidR="00AA770D" w:rsidRPr="00631C1B" w:rsidRDefault="00AA770D" w:rsidP="009A3F2B">
            <w:pPr>
              <w:jc w:val="center"/>
              <w:rPr>
                <w:b/>
                <w:color w:val="3C5896"/>
                <w:sz w:val="18"/>
                <w:szCs w:val="18"/>
              </w:rPr>
            </w:pPr>
            <w:r w:rsidRPr="00631C1B">
              <w:rPr>
                <w:b/>
                <w:color w:val="3C5896"/>
                <w:sz w:val="18"/>
                <w:szCs w:val="18"/>
              </w:rPr>
              <w:t>Actual</w:t>
            </w:r>
          </w:p>
        </w:tc>
        <w:tc>
          <w:tcPr>
            <w:tcW w:w="980" w:type="dxa"/>
            <w:tcBorders>
              <w:top w:val="single" w:sz="12" w:space="0" w:color="3C5896" w:themeColor="accent1"/>
              <w:bottom w:val="single" w:sz="12" w:space="0" w:color="3C5896" w:themeColor="accent1"/>
            </w:tcBorders>
          </w:tcPr>
          <w:p w14:paraId="62107D2F" w14:textId="77777777" w:rsidR="00AA770D" w:rsidRPr="00631C1B" w:rsidRDefault="00AA770D" w:rsidP="009A3F2B">
            <w:pPr>
              <w:jc w:val="center"/>
              <w:rPr>
                <w:b/>
                <w:color w:val="3C5896"/>
                <w:sz w:val="18"/>
                <w:szCs w:val="18"/>
              </w:rPr>
            </w:pPr>
            <w:r w:rsidRPr="00631C1B">
              <w:rPr>
                <w:b/>
                <w:color w:val="3C5896"/>
                <w:sz w:val="18"/>
                <w:szCs w:val="18"/>
              </w:rPr>
              <w:t>Variance</w:t>
            </w:r>
          </w:p>
        </w:tc>
      </w:tr>
      <w:tr w:rsidR="00AA770D" w:rsidRPr="00631C1B" w14:paraId="382AA5BA" w14:textId="77777777" w:rsidTr="00AA770D">
        <w:trPr>
          <w:trHeight w:val="1343"/>
        </w:trPr>
        <w:tc>
          <w:tcPr>
            <w:tcW w:w="1262" w:type="dxa"/>
            <w:tcBorders>
              <w:top w:val="single" w:sz="12" w:space="0" w:color="3C5896" w:themeColor="accent1"/>
              <w:bottom w:val="single" w:sz="12" w:space="0" w:color="3C5896" w:themeColor="accent1"/>
              <w:right w:val="single" w:sz="4" w:space="0" w:color="000000" w:themeColor="text1"/>
            </w:tcBorders>
          </w:tcPr>
          <w:p w14:paraId="55544678" w14:textId="77777777" w:rsidR="00AA770D" w:rsidRPr="00631C1B" w:rsidRDefault="00AA770D" w:rsidP="009A3F2B">
            <w:pPr>
              <w:rPr>
                <w:sz w:val="18"/>
                <w:szCs w:val="18"/>
              </w:rPr>
            </w:pPr>
            <w:r w:rsidRPr="00631C1B">
              <w:rPr>
                <w:sz w:val="18"/>
                <w:szCs w:val="18"/>
              </w:rPr>
              <w:t>Young people report increases in feelings against SHANARRI indicators</w:t>
            </w:r>
          </w:p>
        </w:tc>
        <w:tc>
          <w:tcPr>
            <w:tcW w:w="717"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1D2051AC" w14:textId="08245305" w:rsidR="00AA770D" w:rsidRPr="00631C1B" w:rsidRDefault="00AA770D" w:rsidP="009A3F2B">
            <w:pPr>
              <w:jc w:val="center"/>
              <w:rPr>
                <w:sz w:val="18"/>
                <w:szCs w:val="18"/>
              </w:rPr>
            </w:pPr>
            <w:r w:rsidRPr="00631C1B">
              <w:rPr>
                <w:sz w:val="18"/>
                <w:szCs w:val="18"/>
              </w:rPr>
              <w:t>2,124</w:t>
            </w:r>
          </w:p>
        </w:tc>
        <w:tc>
          <w:tcPr>
            <w:tcW w:w="751"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7BE9F26C" w14:textId="7D0D014F" w:rsidR="00AA770D" w:rsidRPr="00631C1B" w:rsidRDefault="00AA770D" w:rsidP="009A3F2B">
            <w:pPr>
              <w:jc w:val="center"/>
              <w:rPr>
                <w:sz w:val="18"/>
                <w:szCs w:val="18"/>
              </w:rPr>
            </w:pPr>
            <w:r w:rsidRPr="00631C1B">
              <w:rPr>
                <w:sz w:val="18"/>
                <w:szCs w:val="18"/>
              </w:rPr>
              <w:t>1,830</w:t>
            </w:r>
          </w:p>
        </w:tc>
        <w:tc>
          <w:tcPr>
            <w:tcW w:w="1103"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59060940" w14:textId="7EE515DD" w:rsidR="00AA770D" w:rsidRPr="00631C1B" w:rsidRDefault="00AA770D" w:rsidP="009A3F2B">
            <w:pPr>
              <w:jc w:val="center"/>
              <w:rPr>
                <w:sz w:val="18"/>
                <w:szCs w:val="18"/>
              </w:rPr>
            </w:pPr>
            <w:r w:rsidRPr="00631C1B">
              <w:rPr>
                <w:sz w:val="18"/>
                <w:szCs w:val="18"/>
              </w:rPr>
              <w:t>2,500</w:t>
            </w:r>
          </w:p>
        </w:tc>
        <w:tc>
          <w:tcPr>
            <w:tcW w:w="876"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579DCB5E" w14:textId="32A37245" w:rsidR="00AA770D" w:rsidRPr="00631C1B" w:rsidRDefault="00AA770D" w:rsidP="009A3F2B">
            <w:pPr>
              <w:jc w:val="center"/>
              <w:rPr>
                <w:sz w:val="18"/>
                <w:szCs w:val="18"/>
              </w:rPr>
            </w:pPr>
            <w:r w:rsidRPr="00631C1B">
              <w:rPr>
                <w:sz w:val="18"/>
                <w:szCs w:val="18"/>
              </w:rPr>
              <w:t>1,939</w:t>
            </w:r>
          </w:p>
        </w:tc>
        <w:tc>
          <w:tcPr>
            <w:tcW w:w="789"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5B8FBD4C" w14:textId="6B5D31A7" w:rsidR="00AA770D" w:rsidRPr="00631C1B" w:rsidRDefault="00AA770D" w:rsidP="009A3F2B">
            <w:pPr>
              <w:jc w:val="center"/>
              <w:rPr>
                <w:sz w:val="18"/>
                <w:szCs w:val="18"/>
              </w:rPr>
            </w:pPr>
            <w:r w:rsidRPr="00631C1B">
              <w:rPr>
                <w:sz w:val="18"/>
                <w:szCs w:val="18"/>
              </w:rPr>
              <w:t>4,624</w:t>
            </w:r>
          </w:p>
        </w:tc>
        <w:tc>
          <w:tcPr>
            <w:tcW w:w="751"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345DF8E2" w14:textId="1E8B94BB" w:rsidR="00AA770D" w:rsidRPr="00631C1B" w:rsidRDefault="00AA770D" w:rsidP="009A3F2B">
            <w:pPr>
              <w:jc w:val="center"/>
              <w:rPr>
                <w:sz w:val="18"/>
                <w:szCs w:val="18"/>
              </w:rPr>
            </w:pPr>
            <w:r w:rsidRPr="00631C1B">
              <w:rPr>
                <w:sz w:val="18"/>
                <w:szCs w:val="18"/>
              </w:rPr>
              <w:t>3,769</w:t>
            </w:r>
          </w:p>
        </w:tc>
        <w:tc>
          <w:tcPr>
            <w:tcW w:w="980" w:type="dxa"/>
            <w:tcBorders>
              <w:top w:val="single" w:sz="12" w:space="0" w:color="3C5896" w:themeColor="accent1"/>
              <w:bottom w:val="single" w:sz="12" w:space="0" w:color="3C5896" w:themeColor="accent1"/>
            </w:tcBorders>
          </w:tcPr>
          <w:p w14:paraId="6D282544" w14:textId="2AE144AF" w:rsidR="00AA770D" w:rsidRPr="00631C1B" w:rsidRDefault="007A4964" w:rsidP="009A3F2B">
            <w:pPr>
              <w:jc w:val="center"/>
              <w:rPr>
                <w:sz w:val="18"/>
                <w:szCs w:val="18"/>
              </w:rPr>
            </w:pPr>
            <w:r w:rsidRPr="00631C1B">
              <w:rPr>
                <w:sz w:val="18"/>
                <w:szCs w:val="18"/>
              </w:rPr>
              <w:t>-</w:t>
            </w:r>
            <w:r w:rsidR="00AA770D" w:rsidRPr="00631C1B">
              <w:rPr>
                <w:sz w:val="18"/>
                <w:szCs w:val="18"/>
              </w:rPr>
              <w:t>855</w:t>
            </w:r>
          </w:p>
        </w:tc>
      </w:tr>
      <w:tr w:rsidR="00AA770D" w:rsidRPr="00631C1B" w14:paraId="7522169F" w14:textId="77777777" w:rsidTr="00AA770D">
        <w:trPr>
          <w:trHeight w:val="1147"/>
        </w:trPr>
        <w:tc>
          <w:tcPr>
            <w:tcW w:w="1262" w:type="dxa"/>
            <w:tcBorders>
              <w:top w:val="single" w:sz="12" w:space="0" w:color="3C5896" w:themeColor="accent1"/>
              <w:bottom w:val="nil"/>
              <w:right w:val="single" w:sz="4" w:space="0" w:color="000000" w:themeColor="text1"/>
            </w:tcBorders>
          </w:tcPr>
          <w:p w14:paraId="5724AC82" w14:textId="77777777" w:rsidR="00AA770D" w:rsidRPr="00631C1B" w:rsidRDefault="00AA770D" w:rsidP="009A3F2B">
            <w:pPr>
              <w:rPr>
                <w:sz w:val="18"/>
                <w:szCs w:val="18"/>
              </w:rPr>
            </w:pPr>
            <w:r w:rsidRPr="00631C1B">
              <w:rPr>
                <w:sz w:val="18"/>
                <w:szCs w:val="18"/>
              </w:rPr>
              <w:t>Stakeholders report on perceived increases in SHANARRI indicators among young people</w:t>
            </w:r>
          </w:p>
        </w:tc>
        <w:tc>
          <w:tcPr>
            <w:tcW w:w="717" w:type="dxa"/>
            <w:tcBorders>
              <w:top w:val="single" w:sz="12" w:space="0" w:color="3C5896" w:themeColor="accent1"/>
              <w:left w:val="single" w:sz="4" w:space="0" w:color="000000" w:themeColor="text1"/>
              <w:bottom w:val="nil"/>
              <w:right w:val="single" w:sz="4" w:space="0" w:color="000000" w:themeColor="text1"/>
            </w:tcBorders>
          </w:tcPr>
          <w:p w14:paraId="34FACC32" w14:textId="7F41F208" w:rsidR="00AA770D" w:rsidRPr="00631C1B" w:rsidRDefault="00AA770D" w:rsidP="009A3F2B">
            <w:pPr>
              <w:jc w:val="center"/>
              <w:rPr>
                <w:sz w:val="18"/>
                <w:szCs w:val="18"/>
              </w:rPr>
            </w:pPr>
            <w:r w:rsidRPr="00631C1B">
              <w:rPr>
                <w:sz w:val="18"/>
                <w:szCs w:val="18"/>
              </w:rPr>
              <w:t>75%</w:t>
            </w:r>
          </w:p>
        </w:tc>
        <w:tc>
          <w:tcPr>
            <w:tcW w:w="751" w:type="dxa"/>
            <w:tcBorders>
              <w:top w:val="single" w:sz="12" w:space="0" w:color="3C5896" w:themeColor="accent1"/>
              <w:left w:val="single" w:sz="4" w:space="0" w:color="000000" w:themeColor="text1"/>
              <w:bottom w:val="nil"/>
              <w:right w:val="single" w:sz="4" w:space="0" w:color="000000" w:themeColor="text1"/>
            </w:tcBorders>
          </w:tcPr>
          <w:p w14:paraId="14787342" w14:textId="1D4EE9A6" w:rsidR="00AA770D" w:rsidRPr="00631C1B" w:rsidRDefault="00DC3F4D" w:rsidP="009A3F2B">
            <w:pPr>
              <w:jc w:val="center"/>
              <w:rPr>
                <w:sz w:val="18"/>
                <w:szCs w:val="18"/>
              </w:rPr>
            </w:pPr>
            <w:r w:rsidRPr="00631C1B">
              <w:rPr>
                <w:sz w:val="18"/>
                <w:szCs w:val="18"/>
              </w:rPr>
              <w:t>91%</w:t>
            </w:r>
          </w:p>
        </w:tc>
        <w:tc>
          <w:tcPr>
            <w:tcW w:w="1103" w:type="dxa"/>
            <w:tcBorders>
              <w:top w:val="single" w:sz="12" w:space="0" w:color="3C5896" w:themeColor="accent1"/>
              <w:left w:val="single" w:sz="4" w:space="0" w:color="000000" w:themeColor="text1"/>
              <w:bottom w:val="nil"/>
              <w:right w:val="single" w:sz="4" w:space="0" w:color="000000" w:themeColor="text1"/>
            </w:tcBorders>
          </w:tcPr>
          <w:p w14:paraId="6BEA5D53" w14:textId="63AB49D1" w:rsidR="00AA770D" w:rsidRPr="00631C1B" w:rsidRDefault="00AA770D" w:rsidP="009A3F2B">
            <w:pPr>
              <w:jc w:val="center"/>
              <w:rPr>
                <w:sz w:val="18"/>
                <w:szCs w:val="18"/>
              </w:rPr>
            </w:pPr>
            <w:r w:rsidRPr="00631C1B">
              <w:rPr>
                <w:sz w:val="18"/>
                <w:szCs w:val="18"/>
              </w:rPr>
              <w:t>75%</w:t>
            </w:r>
          </w:p>
        </w:tc>
        <w:tc>
          <w:tcPr>
            <w:tcW w:w="876" w:type="dxa"/>
            <w:tcBorders>
              <w:top w:val="single" w:sz="12" w:space="0" w:color="3C5896" w:themeColor="accent1"/>
              <w:left w:val="single" w:sz="4" w:space="0" w:color="000000" w:themeColor="text1"/>
              <w:bottom w:val="nil"/>
              <w:right w:val="single" w:sz="4" w:space="0" w:color="000000" w:themeColor="text1"/>
            </w:tcBorders>
          </w:tcPr>
          <w:p w14:paraId="190B3BC1" w14:textId="2C0A6B6E" w:rsidR="00AA770D" w:rsidRPr="00631C1B" w:rsidRDefault="00666DA6" w:rsidP="009A3F2B">
            <w:pPr>
              <w:jc w:val="center"/>
              <w:rPr>
                <w:sz w:val="18"/>
                <w:szCs w:val="18"/>
              </w:rPr>
            </w:pPr>
            <w:r w:rsidRPr="00631C1B">
              <w:rPr>
                <w:sz w:val="18"/>
                <w:szCs w:val="18"/>
              </w:rPr>
              <w:t>N/A</w:t>
            </w:r>
          </w:p>
        </w:tc>
        <w:tc>
          <w:tcPr>
            <w:tcW w:w="789" w:type="dxa"/>
            <w:tcBorders>
              <w:top w:val="single" w:sz="12" w:space="0" w:color="3C5896" w:themeColor="accent1"/>
              <w:left w:val="single" w:sz="4" w:space="0" w:color="000000" w:themeColor="text1"/>
              <w:bottom w:val="nil"/>
              <w:right w:val="single" w:sz="4" w:space="0" w:color="000000" w:themeColor="text1"/>
            </w:tcBorders>
          </w:tcPr>
          <w:p w14:paraId="5F0025AA" w14:textId="571F2942" w:rsidR="00AA770D" w:rsidRPr="00631C1B" w:rsidRDefault="00AA770D" w:rsidP="009A3F2B">
            <w:pPr>
              <w:jc w:val="center"/>
              <w:rPr>
                <w:sz w:val="18"/>
                <w:szCs w:val="18"/>
              </w:rPr>
            </w:pPr>
            <w:r w:rsidRPr="00631C1B">
              <w:rPr>
                <w:sz w:val="18"/>
                <w:szCs w:val="18"/>
              </w:rPr>
              <w:t>75%</w:t>
            </w:r>
          </w:p>
        </w:tc>
        <w:tc>
          <w:tcPr>
            <w:tcW w:w="751" w:type="dxa"/>
            <w:tcBorders>
              <w:top w:val="single" w:sz="12" w:space="0" w:color="3C5896" w:themeColor="accent1"/>
              <w:left w:val="single" w:sz="4" w:space="0" w:color="000000" w:themeColor="text1"/>
              <w:bottom w:val="nil"/>
              <w:right w:val="single" w:sz="4" w:space="0" w:color="000000" w:themeColor="text1"/>
            </w:tcBorders>
          </w:tcPr>
          <w:p w14:paraId="23B1E0B2" w14:textId="1EABAD5B" w:rsidR="00AA770D" w:rsidRPr="00631C1B" w:rsidRDefault="00DC3F4D" w:rsidP="009A3F2B">
            <w:pPr>
              <w:jc w:val="center"/>
              <w:rPr>
                <w:sz w:val="18"/>
                <w:szCs w:val="18"/>
              </w:rPr>
            </w:pPr>
            <w:r w:rsidRPr="00631C1B">
              <w:rPr>
                <w:sz w:val="18"/>
                <w:szCs w:val="18"/>
              </w:rPr>
              <w:t>91%</w:t>
            </w:r>
          </w:p>
        </w:tc>
        <w:tc>
          <w:tcPr>
            <w:tcW w:w="980" w:type="dxa"/>
            <w:tcBorders>
              <w:top w:val="single" w:sz="12" w:space="0" w:color="3C5896" w:themeColor="accent1"/>
            </w:tcBorders>
          </w:tcPr>
          <w:p w14:paraId="4ED8FB00" w14:textId="7506C53C" w:rsidR="00AA770D" w:rsidRPr="00631C1B" w:rsidRDefault="00ED7D36" w:rsidP="009A3F2B">
            <w:pPr>
              <w:jc w:val="center"/>
              <w:rPr>
                <w:sz w:val="18"/>
                <w:szCs w:val="18"/>
              </w:rPr>
            </w:pPr>
            <w:r w:rsidRPr="00631C1B">
              <w:rPr>
                <w:sz w:val="18"/>
                <w:szCs w:val="18"/>
              </w:rPr>
              <w:t>+16%</w:t>
            </w:r>
          </w:p>
        </w:tc>
      </w:tr>
    </w:tbl>
    <w:p w14:paraId="37CAD9FB" w14:textId="542600FD" w:rsidR="00AC4A62" w:rsidRPr="00631C1B" w:rsidRDefault="00AC4A62" w:rsidP="00AC4A62">
      <w:pPr>
        <w:pStyle w:val="Source"/>
      </w:pPr>
      <w:r w:rsidRPr="00631C1B">
        <w:t>Source: Creative Scotland / BOP Consulting (20</w:t>
      </w:r>
      <w:r w:rsidR="00AA5D6B" w:rsidRPr="00631C1B">
        <w:t>20</w:t>
      </w:r>
      <w:r w:rsidRPr="00631C1B">
        <w:t>)</w:t>
      </w:r>
    </w:p>
    <w:p w14:paraId="01B324CA" w14:textId="77777777" w:rsidR="00AA770D" w:rsidRPr="00631C1B" w:rsidRDefault="00AA770D" w:rsidP="00AC4A62">
      <w:pPr>
        <w:pStyle w:val="Caption"/>
      </w:pPr>
    </w:p>
    <w:p w14:paraId="69DC0DAF" w14:textId="77777777" w:rsidR="00AA770D" w:rsidRPr="00631C1B" w:rsidRDefault="00AA770D" w:rsidP="00AA770D"/>
    <w:p w14:paraId="468DCFF1" w14:textId="5A36C1BC" w:rsidR="00AC4A62" w:rsidRPr="00631C1B" w:rsidRDefault="00AC4A62" w:rsidP="00AC4A62">
      <w:pPr>
        <w:pStyle w:val="Caption"/>
      </w:pPr>
      <w:bookmarkStart w:id="39" w:name="_Toc42266749"/>
      <w:r w:rsidRPr="00631C1B">
        <w:lastRenderedPageBreak/>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14</w:t>
      </w:r>
      <w:r w:rsidRPr="00631C1B">
        <w:rPr>
          <w:noProof/>
        </w:rPr>
        <w:fldChar w:fldCharType="end"/>
      </w:r>
      <w:r w:rsidRPr="00631C1B">
        <w:t xml:space="preserve">  Progress towards targets in improving participants’ wellbeing – based on grant offer letter</w:t>
      </w:r>
      <w:r w:rsidR="0043749D" w:rsidRPr="00631C1B">
        <w:t xml:space="preserve"> – All years</w:t>
      </w:r>
      <w:bookmarkEnd w:id="39"/>
    </w:p>
    <w:tbl>
      <w:tblPr>
        <w:tblStyle w:val="BOPtable"/>
        <w:tblW w:w="0" w:type="auto"/>
        <w:tblLook w:val="04A0" w:firstRow="1" w:lastRow="0" w:firstColumn="1" w:lastColumn="0" w:noHBand="0" w:noVBand="1"/>
      </w:tblPr>
      <w:tblGrid>
        <w:gridCol w:w="1213"/>
        <w:gridCol w:w="762"/>
        <w:gridCol w:w="765"/>
        <w:gridCol w:w="704"/>
        <w:gridCol w:w="832"/>
        <w:gridCol w:w="929"/>
        <w:gridCol w:w="765"/>
        <w:gridCol w:w="1001"/>
      </w:tblGrid>
      <w:tr w:rsidR="00AA770D" w:rsidRPr="00631C1B" w14:paraId="4B24A266" w14:textId="77777777" w:rsidTr="00AA770D">
        <w:trPr>
          <w:cnfStyle w:val="100000000000" w:firstRow="1" w:lastRow="0" w:firstColumn="0" w:lastColumn="0" w:oddVBand="0" w:evenVBand="0" w:oddHBand="0" w:evenHBand="0" w:firstRowFirstColumn="0" w:firstRowLastColumn="0" w:lastRowFirstColumn="0" w:lastRowLastColumn="0"/>
          <w:trHeight w:val="370"/>
        </w:trPr>
        <w:tc>
          <w:tcPr>
            <w:tcW w:w="1213" w:type="dxa"/>
            <w:tcBorders>
              <w:right w:val="single" w:sz="4" w:space="0" w:color="000000" w:themeColor="text1"/>
            </w:tcBorders>
          </w:tcPr>
          <w:p w14:paraId="496F2871" w14:textId="77777777" w:rsidR="00AA770D" w:rsidRPr="00631C1B" w:rsidRDefault="00AA770D" w:rsidP="009A3F2B"/>
        </w:tc>
        <w:tc>
          <w:tcPr>
            <w:tcW w:w="1527" w:type="dxa"/>
            <w:gridSpan w:val="2"/>
            <w:tcBorders>
              <w:left w:val="single" w:sz="4" w:space="0" w:color="000000" w:themeColor="text1"/>
              <w:right w:val="single" w:sz="4" w:space="0" w:color="000000" w:themeColor="text1"/>
            </w:tcBorders>
          </w:tcPr>
          <w:p w14:paraId="486F535D" w14:textId="77777777" w:rsidR="00AA770D" w:rsidRPr="00631C1B" w:rsidRDefault="00AA770D" w:rsidP="009A3F2B">
            <w:pPr>
              <w:jc w:val="center"/>
            </w:pPr>
            <w:r w:rsidRPr="00631C1B">
              <w:t>Targeted Fund</w:t>
            </w:r>
          </w:p>
        </w:tc>
        <w:tc>
          <w:tcPr>
            <w:tcW w:w="1536" w:type="dxa"/>
            <w:gridSpan w:val="2"/>
            <w:tcBorders>
              <w:left w:val="single" w:sz="4" w:space="0" w:color="000000" w:themeColor="text1"/>
              <w:right w:val="single" w:sz="4" w:space="0" w:color="000000" w:themeColor="text1"/>
            </w:tcBorders>
          </w:tcPr>
          <w:p w14:paraId="71DDE83B" w14:textId="77777777" w:rsidR="00AA770D" w:rsidRPr="00631C1B" w:rsidRDefault="00AA770D" w:rsidP="009A3F2B">
            <w:pPr>
              <w:jc w:val="center"/>
            </w:pPr>
            <w:r w:rsidRPr="00631C1B">
              <w:t>Open Fund</w:t>
            </w:r>
          </w:p>
        </w:tc>
        <w:tc>
          <w:tcPr>
            <w:tcW w:w="1694" w:type="dxa"/>
            <w:gridSpan w:val="2"/>
            <w:tcBorders>
              <w:left w:val="single" w:sz="4" w:space="0" w:color="000000" w:themeColor="text1"/>
              <w:right w:val="single" w:sz="4" w:space="0" w:color="000000" w:themeColor="text1"/>
            </w:tcBorders>
          </w:tcPr>
          <w:p w14:paraId="69230A47" w14:textId="77777777" w:rsidR="00AA770D" w:rsidRPr="00631C1B" w:rsidRDefault="00AA770D" w:rsidP="009A3F2B">
            <w:pPr>
              <w:jc w:val="center"/>
              <w:rPr>
                <w:b w:val="0"/>
              </w:rPr>
            </w:pPr>
            <w:r w:rsidRPr="00631C1B">
              <w:t>Programme</w:t>
            </w:r>
          </w:p>
          <w:p w14:paraId="004E46E6" w14:textId="77777777" w:rsidR="00AA770D" w:rsidRPr="00631C1B" w:rsidRDefault="00AA770D" w:rsidP="009A3F2B">
            <w:pPr>
              <w:jc w:val="center"/>
            </w:pPr>
            <w:r w:rsidRPr="00631C1B">
              <w:t>Total</w:t>
            </w:r>
          </w:p>
        </w:tc>
        <w:tc>
          <w:tcPr>
            <w:tcW w:w="1001" w:type="dxa"/>
          </w:tcPr>
          <w:p w14:paraId="3C84BBC7" w14:textId="77777777" w:rsidR="00AA770D" w:rsidRPr="00631C1B" w:rsidRDefault="00AA770D" w:rsidP="009A3F2B">
            <w:pPr>
              <w:jc w:val="center"/>
            </w:pPr>
          </w:p>
        </w:tc>
      </w:tr>
      <w:tr w:rsidR="00C52399" w:rsidRPr="00631C1B" w14:paraId="328CEB61" w14:textId="77777777" w:rsidTr="00AA770D">
        <w:trPr>
          <w:trHeight w:val="675"/>
        </w:trPr>
        <w:tc>
          <w:tcPr>
            <w:tcW w:w="1213" w:type="dxa"/>
            <w:tcBorders>
              <w:top w:val="single" w:sz="12" w:space="0" w:color="3C5896" w:themeColor="accent1"/>
              <w:bottom w:val="single" w:sz="12" w:space="0" w:color="3C5896" w:themeColor="accent1"/>
              <w:right w:val="single" w:sz="4" w:space="0" w:color="000000" w:themeColor="text1"/>
            </w:tcBorders>
          </w:tcPr>
          <w:p w14:paraId="57770C7A" w14:textId="77777777" w:rsidR="00AA770D" w:rsidRPr="00631C1B" w:rsidRDefault="00AA770D" w:rsidP="009A3F2B"/>
        </w:tc>
        <w:tc>
          <w:tcPr>
            <w:tcW w:w="762"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0D2693F8" w14:textId="77777777" w:rsidR="00AA770D" w:rsidRPr="00631C1B" w:rsidRDefault="00AA770D" w:rsidP="009A3F2B">
            <w:pPr>
              <w:jc w:val="center"/>
              <w:rPr>
                <w:b/>
                <w:color w:val="3C5896"/>
                <w:sz w:val="18"/>
                <w:szCs w:val="18"/>
              </w:rPr>
            </w:pPr>
            <w:r w:rsidRPr="00631C1B">
              <w:rPr>
                <w:b/>
                <w:color w:val="3C5896"/>
                <w:sz w:val="18"/>
                <w:szCs w:val="18"/>
              </w:rPr>
              <w:t>Grant offer letter target</w:t>
            </w:r>
          </w:p>
        </w:tc>
        <w:tc>
          <w:tcPr>
            <w:tcW w:w="765"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1C0736EF" w14:textId="77777777" w:rsidR="00AA770D" w:rsidRPr="00631C1B" w:rsidRDefault="00AA770D" w:rsidP="009A3F2B">
            <w:pPr>
              <w:jc w:val="center"/>
              <w:rPr>
                <w:b/>
                <w:color w:val="3C5896"/>
                <w:sz w:val="18"/>
                <w:szCs w:val="18"/>
              </w:rPr>
            </w:pPr>
            <w:r w:rsidRPr="00631C1B">
              <w:rPr>
                <w:b/>
                <w:color w:val="3C5896"/>
                <w:sz w:val="18"/>
                <w:szCs w:val="18"/>
              </w:rPr>
              <w:t>Actual</w:t>
            </w:r>
          </w:p>
        </w:tc>
        <w:tc>
          <w:tcPr>
            <w:tcW w:w="704"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5BD33E3F" w14:textId="77777777" w:rsidR="00AA770D" w:rsidRPr="00631C1B" w:rsidRDefault="00AA770D" w:rsidP="009A3F2B">
            <w:pPr>
              <w:jc w:val="center"/>
              <w:rPr>
                <w:b/>
                <w:color w:val="3C5896"/>
                <w:sz w:val="18"/>
                <w:szCs w:val="18"/>
              </w:rPr>
            </w:pPr>
            <w:r w:rsidRPr="00631C1B">
              <w:rPr>
                <w:b/>
                <w:color w:val="3C5896"/>
                <w:sz w:val="18"/>
                <w:szCs w:val="18"/>
              </w:rPr>
              <w:t>Grant offer letter target</w:t>
            </w:r>
          </w:p>
        </w:tc>
        <w:tc>
          <w:tcPr>
            <w:tcW w:w="831"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5207E568" w14:textId="77777777" w:rsidR="00AA770D" w:rsidRPr="00631C1B" w:rsidRDefault="00AA770D" w:rsidP="009A3F2B">
            <w:pPr>
              <w:jc w:val="center"/>
              <w:rPr>
                <w:b/>
                <w:color w:val="3C5896"/>
                <w:sz w:val="18"/>
                <w:szCs w:val="18"/>
              </w:rPr>
            </w:pPr>
            <w:r w:rsidRPr="00631C1B">
              <w:rPr>
                <w:b/>
                <w:color w:val="3C5896"/>
                <w:sz w:val="18"/>
                <w:szCs w:val="18"/>
              </w:rPr>
              <w:t>Actual</w:t>
            </w:r>
          </w:p>
        </w:tc>
        <w:tc>
          <w:tcPr>
            <w:tcW w:w="929"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13F89D8D" w14:textId="77777777" w:rsidR="00AA770D" w:rsidRPr="00631C1B" w:rsidRDefault="00AA770D" w:rsidP="009A3F2B">
            <w:pPr>
              <w:jc w:val="center"/>
              <w:rPr>
                <w:b/>
                <w:color w:val="3C5896"/>
                <w:sz w:val="18"/>
                <w:szCs w:val="18"/>
              </w:rPr>
            </w:pPr>
            <w:r w:rsidRPr="00631C1B">
              <w:rPr>
                <w:b/>
                <w:color w:val="3C5896"/>
                <w:sz w:val="18"/>
                <w:szCs w:val="18"/>
              </w:rPr>
              <w:t>Grant offer letter target</w:t>
            </w:r>
          </w:p>
        </w:tc>
        <w:tc>
          <w:tcPr>
            <w:tcW w:w="765"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43C0EABC" w14:textId="77777777" w:rsidR="00AA770D" w:rsidRPr="00631C1B" w:rsidRDefault="00AA770D" w:rsidP="009A3F2B">
            <w:pPr>
              <w:jc w:val="center"/>
              <w:rPr>
                <w:b/>
                <w:color w:val="3C5896"/>
                <w:sz w:val="18"/>
                <w:szCs w:val="18"/>
              </w:rPr>
            </w:pPr>
            <w:r w:rsidRPr="00631C1B">
              <w:rPr>
                <w:b/>
                <w:color w:val="3C5896"/>
                <w:sz w:val="18"/>
                <w:szCs w:val="18"/>
              </w:rPr>
              <w:t>Actual</w:t>
            </w:r>
          </w:p>
        </w:tc>
        <w:tc>
          <w:tcPr>
            <w:tcW w:w="1001" w:type="dxa"/>
            <w:tcBorders>
              <w:top w:val="single" w:sz="12" w:space="0" w:color="3C5896" w:themeColor="accent1"/>
              <w:bottom w:val="single" w:sz="12" w:space="0" w:color="3C5896" w:themeColor="accent1"/>
            </w:tcBorders>
          </w:tcPr>
          <w:p w14:paraId="4758BE64" w14:textId="77777777" w:rsidR="00AA770D" w:rsidRPr="00631C1B" w:rsidRDefault="00AA770D" w:rsidP="009A3F2B">
            <w:pPr>
              <w:jc w:val="center"/>
              <w:rPr>
                <w:b/>
                <w:color w:val="3C5896"/>
                <w:sz w:val="18"/>
                <w:szCs w:val="18"/>
              </w:rPr>
            </w:pPr>
            <w:r w:rsidRPr="00631C1B">
              <w:rPr>
                <w:b/>
                <w:color w:val="3C5896"/>
                <w:sz w:val="18"/>
                <w:szCs w:val="18"/>
              </w:rPr>
              <w:t>Variance</w:t>
            </w:r>
          </w:p>
        </w:tc>
      </w:tr>
      <w:tr w:rsidR="00C52399" w:rsidRPr="00631C1B" w14:paraId="71135AE6" w14:textId="77777777" w:rsidTr="00AA770D">
        <w:trPr>
          <w:trHeight w:val="1521"/>
        </w:trPr>
        <w:tc>
          <w:tcPr>
            <w:tcW w:w="1213" w:type="dxa"/>
            <w:tcBorders>
              <w:top w:val="single" w:sz="12" w:space="0" w:color="3C5896" w:themeColor="accent1"/>
              <w:bottom w:val="single" w:sz="12" w:space="0" w:color="3C5896" w:themeColor="accent1"/>
              <w:right w:val="single" w:sz="4" w:space="0" w:color="000000" w:themeColor="text1"/>
            </w:tcBorders>
          </w:tcPr>
          <w:p w14:paraId="632EB50A" w14:textId="77777777" w:rsidR="00AA770D" w:rsidRPr="00631C1B" w:rsidRDefault="00AA770D" w:rsidP="009A3F2B">
            <w:pPr>
              <w:rPr>
                <w:sz w:val="18"/>
                <w:szCs w:val="18"/>
              </w:rPr>
            </w:pPr>
            <w:r w:rsidRPr="00631C1B">
              <w:rPr>
                <w:sz w:val="18"/>
                <w:szCs w:val="18"/>
              </w:rPr>
              <w:t>Young people report increases in feelings against SHANARRI indicators</w:t>
            </w:r>
          </w:p>
        </w:tc>
        <w:tc>
          <w:tcPr>
            <w:tcW w:w="762"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11E42171" w14:textId="0F46FBC5" w:rsidR="00AA770D" w:rsidRPr="00631C1B" w:rsidRDefault="00AA770D" w:rsidP="009A3F2B">
            <w:pPr>
              <w:jc w:val="center"/>
              <w:rPr>
                <w:sz w:val="18"/>
                <w:szCs w:val="18"/>
              </w:rPr>
            </w:pPr>
            <w:r w:rsidRPr="00631C1B">
              <w:rPr>
                <w:sz w:val="18"/>
                <w:szCs w:val="18"/>
              </w:rPr>
              <w:t>6,000</w:t>
            </w:r>
          </w:p>
        </w:tc>
        <w:tc>
          <w:tcPr>
            <w:tcW w:w="765"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77E3B999" w14:textId="66DB6B9F" w:rsidR="00AA770D" w:rsidRPr="00631C1B" w:rsidRDefault="00AA770D" w:rsidP="009A3F2B">
            <w:pPr>
              <w:jc w:val="center"/>
              <w:rPr>
                <w:sz w:val="18"/>
                <w:szCs w:val="18"/>
              </w:rPr>
            </w:pPr>
            <w:r w:rsidRPr="00631C1B">
              <w:rPr>
                <w:sz w:val="18"/>
                <w:szCs w:val="18"/>
              </w:rPr>
              <w:t>4,883</w:t>
            </w:r>
          </w:p>
        </w:tc>
        <w:tc>
          <w:tcPr>
            <w:tcW w:w="704"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765422B5" w14:textId="571D6782" w:rsidR="00AA770D" w:rsidRPr="00631C1B" w:rsidRDefault="00AA770D" w:rsidP="009A3F2B">
            <w:pPr>
              <w:jc w:val="center"/>
              <w:rPr>
                <w:sz w:val="18"/>
                <w:szCs w:val="18"/>
              </w:rPr>
            </w:pPr>
            <w:r w:rsidRPr="00631C1B">
              <w:rPr>
                <w:sz w:val="18"/>
                <w:szCs w:val="18"/>
              </w:rPr>
              <w:t>7,500</w:t>
            </w:r>
          </w:p>
        </w:tc>
        <w:tc>
          <w:tcPr>
            <w:tcW w:w="831"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14C46AF9" w14:textId="28AA6917" w:rsidR="00AA770D" w:rsidRPr="00631C1B" w:rsidRDefault="00AA770D" w:rsidP="009A3F2B">
            <w:pPr>
              <w:jc w:val="center"/>
              <w:rPr>
                <w:sz w:val="18"/>
                <w:szCs w:val="18"/>
              </w:rPr>
            </w:pPr>
            <w:r w:rsidRPr="00631C1B">
              <w:rPr>
                <w:sz w:val="18"/>
                <w:szCs w:val="18"/>
              </w:rPr>
              <w:t>4,552</w:t>
            </w:r>
          </w:p>
        </w:tc>
        <w:tc>
          <w:tcPr>
            <w:tcW w:w="929"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4E48979E" w14:textId="3872C2EE" w:rsidR="00AA770D" w:rsidRPr="00631C1B" w:rsidRDefault="00AA770D" w:rsidP="009A3F2B">
            <w:pPr>
              <w:jc w:val="center"/>
              <w:rPr>
                <w:sz w:val="18"/>
                <w:szCs w:val="18"/>
              </w:rPr>
            </w:pPr>
            <w:r w:rsidRPr="00631C1B">
              <w:rPr>
                <w:sz w:val="18"/>
                <w:szCs w:val="18"/>
              </w:rPr>
              <w:t>13,500</w:t>
            </w:r>
          </w:p>
        </w:tc>
        <w:tc>
          <w:tcPr>
            <w:tcW w:w="765"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51ED54F9" w14:textId="6DE3B575" w:rsidR="00AA770D" w:rsidRPr="00631C1B" w:rsidRDefault="00AA770D" w:rsidP="009A3F2B">
            <w:pPr>
              <w:jc w:val="center"/>
              <w:rPr>
                <w:sz w:val="18"/>
                <w:szCs w:val="18"/>
              </w:rPr>
            </w:pPr>
            <w:r w:rsidRPr="00631C1B">
              <w:rPr>
                <w:sz w:val="18"/>
                <w:szCs w:val="18"/>
              </w:rPr>
              <w:t>9,435</w:t>
            </w:r>
          </w:p>
        </w:tc>
        <w:tc>
          <w:tcPr>
            <w:tcW w:w="1001" w:type="dxa"/>
            <w:tcBorders>
              <w:top w:val="single" w:sz="12" w:space="0" w:color="3C5896" w:themeColor="accent1"/>
              <w:bottom w:val="single" w:sz="12" w:space="0" w:color="3C5896" w:themeColor="accent1"/>
            </w:tcBorders>
          </w:tcPr>
          <w:p w14:paraId="2891811F" w14:textId="33DB54FD" w:rsidR="00AA770D" w:rsidRPr="00631C1B" w:rsidRDefault="00CE27EF" w:rsidP="009A3F2B">
            <w:pPr>
              <w:jc w:val="center"/>
              <w:rPr>
                <w:sz w:val="18"/>
                <w:szCs w:val="18"/>
              </w:rPr>
            </w:pPr>
            <w:r w:rsidRPr="00631C1B">
              <w:rPr>
                <w:sz w:val="18"/>
                <w:szCs w:val="18"/>
              </w:rPr>
              <w:t>-4,065</w:t>
            </w:r>
          </w:p>
        </w:tc>
      </w:tr>
      <w:tr w:rsidR="00C52399" w:rsidRPr="00631C1B" w14:paraId="24414B47" w14:textId="77777777" w:rsidTr="00AA770D">
        <w:trPr>
          <w:trHeight w:val="1299"/>
        </w:trPr>
        <w:tc>
          <w:tcPr>
            <w:tcW w:w="1213" w:type="dxa"/>
            <w:tcBorders>
              <w:top w:val="single" w:sz="12" w:space="0" w:color="3C5896" w:themeColor="accent1"/>
              <w:bottom w:val="nil"/>
              <w:right w:val="single" w:sz="4" w:space="0" w:color="000000" w:themeColor="text1"/>
            </w:tcBorders>
          </w:tcPr>
          <w:p w14:paraId="0E932531" w14:textId="77777777" w:rsidR="00AA770D" w:rsidRPr="00631C1B" w:rsidRDefault="00AA770D" w:rsidP="009A3F2B">
            <w:pPr>
              <w:rPr>
                <w:sz w:val="18"/>
                <w:szCs w:val="18"/>
              </w:rPr>
            </w:pPr>
            <w:r w:rsidRPr="00631C1B">
              <w:rPr>
                <w:sz w:val="18"/>
                <w:szCs w:val="18"/>
              </w:rPr>
              <w:t>Stakeholders report on perceived increases in SHANARRI indicators among young people</w:t>
            </w:r>
          </w:p>
        </w:tc>
        <w:tc>
          <w:tcPr>
            <w:tcW w:w="762" w:type="dxa"/>
            <w:tcBorders>
              <w:top w:val="single" w:sz="12" w:space="0" w:color="3C5896" w:themeColor="accent1"/>
              <w:left w:val="single" w:sz="4" w:space="0" w:color="000000" w:themeColor="text1"/>
              <w:bottom w:val="nil"/>
              <w:right w:val="single" w:sz="4" w:space="0" w:color="000000" w:themeColor="text1"/>
            </w:tcBorders>
          </w:tcPr>
          <w:p w14:paraId="3E067130" w14:textId="26793752" w:rsidR="00AA770D" w:rsidRPr="00631C1B" w:rsidRDefault="00AA770D" w:rsidP="009A3F2B">
            <w:pPr>
              <w:jc w:val="center"/>
              <w:rPr>
                <w:sz w:val="18"/>
                <w:szCs w:val="18"/>
              </w:rPr>
            </w:pPr>
            <w:r w:rsidRPr="00631C1B">
              <w:rPr>
                <w:sz w:val="18"/>
                <w:szCs w:val="18"/>
              </w:rPr>
              <w:t>75%</w:t>
            </w:r>
          </w:p>
        </w:tc>
        <w:tc>
          <w:tcPr>
            <w:tcW w:w="765" w:type="dxa"/>
            <w:tcBorders>
              <w:top w:val="single" w:sz="12" w:space="0" w:color="3C5896" w:themeColor="accent1"/>
              <w:left w:val="single" w:sz="4" w:space="0" w:color="000000" w:themeColor="text1"/>
              <w:bottom w:val="nil"/>
              <w:right w:val="single" w:sz="4" w:space="0" w:color="000000" w:themeColor="text1"/>
            </w:tcBorders>
          </w:tcPr>
          <w:p w14:paraId="1831149C" w14:textId="5EBC6D20" w:rsidR="00AA770D" w:rsidRPr="00631C1B" w:rsidRDefault="00C52399" w:rsidP="009A3F2B">
            <w:pPr>
              <w:jc w:val="center"/>
              <w:rPr>
                <w:sz w:val="18"/>
                <w:szCs w:val="18"/>
              </w:rPr>
            </w:pPr>
            <w:r w:rsidRPr="00631C1B">
              <w:rPr>
                <w:sz w:val="18"/>
                <w:szCs w:val="18"/>
              </w:rPr>
              <w:t>100%</w:t>
            </w:r>
          </w:p>
        </w:tc>
        <w:tc>
          <w:tcPr>
            <w:tcW w:w="704" w:type="dxa"/>
            <w:tcBorders>
              <w:top w:val="single" w:sz="12" w:space="0" w:color="3C5896" w:themeColor="accent1"/>
              <w:left w:val="single" w:sz="4" w:space="0" w:color="000000" w:themeColor="text1"/>
              <w:bottom w:val="nil"/>
              <w:right w:val="single" w:sz="4" w:space="0" w:color="000000" w:themeColor="text1"/>
            </w:tcBorders>
          </w:tcPr>
          <w:p w14:paraId="2DF053CE" w14:textId="56C5FFA5" w:rsidR="00AA770D" w:rsidRPr="00631C1B" w:rsidRDefault="00AA770D" w:rsidP="009A3F2B">
            <w:pPr>
              <w:jc w:val="center"/>
              <w:rPr>
                <w:sz w:val="18"/>
                <w:szCs w:val="18"/>
              </w:rPr>
            </w:pPr>
            <w:r w:rsidRPr="00631C1B">
              <w:rPr>
                <w:sz w:val="18"/>
                <w:szCs w:val="18"/>
              </w:rPr>
              <w:t>75%</w:t>
            </w:r>
          </w:p>
        </w:tc>
        <w:tc>
          <w:tcPr>
            <w:tcW w:w="831" w:type="dxa"/>
            <w:tcBorders>
              <w:top w:val="single" w:sz="12" w:space="0" w:color="3C5896" w:themeColor="accent1"/>
              <w:left w:val="single" w:sz="4" w:space="0" w:color="000000" w:themeColor="text1"/>
              <w:bottom w:val="nil"/>
              <w:right w:val="single" w:sz="4" w:space="0" w:color="000000" w:themeColor="text1"/>
            </w:tcBorders>
          </w:tcPr>
          <w:p w14:paraId="77CBC2F9" w14:textId="6D4A1E75" w:rsidR="00AA770D" w:rsidRPr="00631C1B" w:rsidRDefault="00ED7D36" w:rsidP="009A3F2B">
            <w:pPr>
              <w:jc w:val="center"/>
              <w:rPr>
                <w:sz w:val="18"/>
                <w:szCs w:val="18"/>
              </w:rPr>
            </w:pPr>
            <w:r w:rsidRPr="00631C1B">
              <w:rPr>
                <w:sz w:val="18"/>
                <w:szCs w:val="18"/>
              </w:rPr>
              <w:t>N/A</w:t>
            </w:r>
          </w:p>
        </w:tc>
        <w:tc>
          <w:tcPr>
            <w:tcW w:w="929" w:type="dxa"/>
            <w:tcBorders>
              <w:top w:val="single" w:sz="12" w:space="0" w:color="3C5896" w:themeColor="accent1"/>
              <w:left w:val="single" w:sz="4" w:space="0" w:color="000000" w:themeColor="text1"/>
              <w:bottom w:val="nil"/>
              <w:right w:val="single" w:sz="4" w:space="0" w:color="000000" w:themeColor="text1"/>
            </w:tcBorders>
          </w:tcPr>
          <w:p w14:paraId="5F03D30D" w14:textId="146429FC" w:rsidR="00AA770D" w:rsidRPr="00631C1B" w:rsidRDefault="00AA770D" w:rsidP="009A3F2B">
            <w:pPr>
              <w:jc w:val="center"/>
              <w:rPr>
                <w:sz w:val="18"/>
                <w:szCs w:val="18"/>
              </w:rPr>
            </w:pPr>
            <w:r w:rsidRPr="00631C1B">
              <w:rPr>
                <w:sz w:val="18"/>
                <w:szCs w:val="18"/>
              </w:rPr>
              <w:t>75%</w:t>
            </w:r>
          </w:p>
        </w:tc>
        <w:tc>
          <w:tcPr>
            <w:tcW w:w="765" w:type="dxa"/>
            <w:tcBorders>
              <w:top w:val="single" w:sz="12" w:space="0" w:color="3C5896" w:themeColor="accent1"/>
              <w:left w:val="single" w:sz="4" w:space="0" w:color="000000" w:themeColor="text1"/>
              <w:bottom w:val="nil"/>
              <w:right w:val="single" w:sz="4" w:space="0" w:color="000000" w:themeColor="text1"/>
            </w:tcBorders>
          </w:tcPr>
          <w:p w14:paraId="30C478A8" w14:textId="22A16FD5" w:rsidR="00AA770D" w:rsidRPr="00631C1B" w:rsidRDefault="00C52399" w:rsidP="009A3F2B">
            <w:pPr>
              <w:jc w:val="center"/>
              <w:rPr>
                <w:sz w:val="18"/>
                <w:szCs w:val="18"/>
              </w:rPr>
            </w:pPr>
            <w:r w:rsidRPr="00631C1B">
              <w:rPr>
                <w:sz w:val="18"/>
                <w:szCs w:val="18"/>
              </w:rPr>
              <w:t>100%</w:t>
            </w:r>
          </w:p>
        </w:tc>
        <w:tc>
          <w:tcPr>
            <w:tcW w:w="1001" w:type="dxa"/>
            <w:tcBorders>
              <w:top w:val="single" w:sz="12" w:space="0" w:color="3C5896" w:themeColor="accent1"/>
            </w:tcBorders>
          </w:tcPr>
          <w:p w14:paraId="7C88B980" w14:textId="3B82D72B" w:rsidR="00AA770D" w:rsidRPr="00631C1B" w:rsidRDefault="00C52399" w:rsidP="009A3F2B">
            <w:pPr>
              <w:jc w:val="center"/>
              <w:rPr>
                <w:sz w:val="18"/>
                <w:szCs w:val="18"/>
              </w:rPr>
            </w:pPr>
            <w:r w:rsidRPr="00631C1B">
              <w:rPr>
                <w:sz w:val="18"/>
                <w:szCs w:val="18"/>
              </w:rPr>
              <w:t>+25%</w:t>
            </w:r>
          </w:p>
        </w:tc>
      </w:tr>
    </w:tbl>
    <w:p w14:paraId="77F1AC4B" w14:textId="6E5D7EFE" w:rsidR="00AC4A62" w:rsidRPr="00631C1B" w:rsidRDefault="00AC4A62" w:rsidP="00AC4A62">
      <w:pPr>
        <w:pStyle w:val="Source"/>
      </w:pPr>
      <w:r w:rsidRPr="00631C1B">
        <w:t>Source: Creative Scotland / BOP Consulting (20</w:t>
      </w:r>
      <w:r w:rsidR="00AA5D6B" w:rsidRPr="00631C1B">
        <w:t>20</w:t>
      </w:r>
      <w:r w:rsidRPr="00631C1B">
        <w:t>)</w:t>
      </w:r>
    </w:p>
    <w:p w14:paraId="457BD3B0" w14:textId="6388582E" w:rsidR="00AC4A62" w:rsidRPr="00631C1B" w:rsidRDefault="004B2ED7" w:rsidP="000A3C27">
      <w:pPr>
        <w:pStyle w:val="Subheadingnonumber"/>
      </w:pPr>
      <w:r w:rsidRPr="00631C1B">
        <w:t>Key programme learning</w:t>
      </w:r>
    </w:p>
    <w:p w14:paraId="4712DC8C" w14:textId="083CA7A7" w:rsidR="004B2ED7" w:rsidRPr="00631C1B" w:rsidRDefault="004B2ED7" w:rsidP="000A3C27">
      <w:pPr>
        <w:pStyle w:val="ListBullet"/>
      </w:pPr>
      <w:r w:rsidRPr="00631C1B">
        <w:t>Bespoke training or support should be provided to organisations expected to report against SHANARRI</w:t>
      </w:r>
      <w:r w:rsidR="00695E67" w:rsidRPr="00631C1B">
        <w:t xml:space="preserve"> indicators. It should also be clarified whether </w:t>
      </w:r>
      <w:r w:rsidR="009B2505" w:rsidRPr="00631C1B">
        <w:t xml:space="preserve">an outcome being met is </w:t>
      </w:r>
      <w:r w:rsidR="005D315B" w:rsidRPr="00631C1B">
        <w:t>recorded against</w:t>
      </w:r>
      <w:r w:rsidR="009B2505" w:rsidRPr="00631C1B">
        <w:t xml:space="preserve"> progress in one, a selection, or all indicators and over which timeframes (i.e. one session, one </w:t>
      </w:r>
      <w:r w:rsidR="005D315B" w:rsidRPr="00631C1B">
        <w:t xml:space="preserve">‘term’, or longer) </w:t>
      </w:r>
    </w:p>
    <w:p w14:paraId="19F867C5" w14:textId="00ABCA7C" w:rsidR="00E20AF2" w:rsidRPr="00631C1B" w:rsidRDefault="00E20AF2" w:rsidP="000A3C27">
      <w:pPr>
        <w:pStyle w:val="ListBullet"/>
      </w:pPr>
      <w:r w:rsidRPr="00631C1B">
        <w:t xml:space="preserve">Projects found it easier to report wellbeing outcomes in relation to more physical activities (e.g. dance, movement, performance), further work should be done with projects to </w:t>
      </w:r>
      <w:r w:rsidR="004836F0" w:rsidRPr="00631C1B">
        <w:t>explore how environmental and psycho-</w:t>
      </w:r>
      <w:r w:rsidR="006F7D3C" w:rsidRPr="00631C1B">
        <w:t>social</w:t>
      </w:r>
      <w:r w:rsidR="004836F0" w:rsidRPr="00631C1B">
        <w:t xml:space="preserve"> </w:t>
      </w:r>
      <w:r w:rsidR="006F7D3C" w:rsidRPr="00631C1B">
        <w:t xml:space="preserve">creative </w:t>
      </w:r>
      <w:r w:rsidR="004836F0" w:rsidRPr="00631C1B">
        <w:t>processes are linked to SHANARRI outcomes</w:t>
      </w:r>
      <w:r w:rsidR="006F7D3C" w:rsidRPr="00631C1B">
        <w:t>. There is a strong</w:t>
      </w:r>
      <w:r w:rsidR="001B5681" w:rsidRPr="00631C1B">
        <w:t xml:space="preserve"> </w:t>
      </w:r>
      <w:r w:rsidR="001B5681" w:rsidRPr="00631C1B">
        <w:t>body of evidence linking creative practice with wellbeing, but many projects find it difficult to demonstrate these effects within the resources available</w:t>
      </w:r>
      <w:r w:rsidR="000A3C27" w:rsidRPr="00631C1B">
        <w:t>.</w:t>
      </w:r>
    </w:p>
    <w:p w14:paraId="30D90B9C" w14:textId="74593329" w:rsidR="00BD2E41" w:rsidRPr="00631C1B" w:rsidRDefault="00FE6DDF" w:rsidP="00BD2E41">
      <w:pPr>
        <w:pStyle w:val="Heading1"/>
      </w:pPr>
      <w:bookmarkStart w:id="40" w:name="_Toc43980025"/>
      <w:r w:rsidRPr="00631C1B">
        <w:lastRenderedPageBreak/>
        <w:t>Improving learning, employability and employment options (positive destinations)</w:t>
      </w:r>
      <w:r w:rsidR="003C7405" w:rsidRPr="00631C1B">
        <w:t xml:space="preserve"> </w:t>
      </w:r>
      <w:r w:rsidR="0079069F" w:rsidRPr="00631C1B">
        <w:t>[</w:t>
      </w:r>
      <w:r w:rsidR="003C7405" w:rsidRPr="00631C1B">
        <w:t>Targeted Fund only</w:t>
      </w:r>
      <w:r w:rsidR="0079069F" w:rsidRPr="00631C1B">
        <w:t>]</w:t>
      </w:r>
      <w:bookmarkEnd w:id="40"/>
      <w:r w:rsidR="003C7405" w:rsidRPr="00631C1B">
        <w:t xml:space="preserve"> </w:t>
      </w:r>
    </w:p>
    <w:p w14:paraId="6B39F009" w14:textId="25955F49" w:rsidR="00286859" w:rsidRPr="00631C1B" w:rsidRDefault="005158DC" w:rsidP="005158DC">
      <w:pPr>
        <w:pStyle w:val="BodyText"/>
      </w:pPr>
      <w:r w:rsidRPr="00631C1B">
        <w:t xml:space="preserve">At the core of the </w:t>
      </w:r>
      <w:proofErr w:type="spellStart"/>
      <w:r w:rsidR="00281FAF" w:rsidRPr="00631C1B">
        <w:t>CashBack</w:t>
      </w:r>
      <w:proofErr w:type="spellEnd"/>
      <w:r w:rsidRPr="00631C1B">
        <w:t xml:space="preserve"> for Creativity programme is the intention for participants to progress into positive destinations</w:t>
      </w:r>
      <w:r w:rsidR="00362CA5" w:rsidRPr="00631C1B">
        <w:t xml:space="preserve">. Positive destinations included </w:t>
      </w:r>
      <w:r w:rsidRPr="00631C1B">
        <w:t>further training and learning, progressi</w:t>
      </w:r>
      <w:r w:rsidR="00362CA5" w:rsidRPr="00631C1B">
        <w:t>on</w:t>
      </w:r>
      <w:r w:rsidRPr="00631C1B">
        <w:t xml:space="preserve"> into formal or non-formal learning opportunities within or beyond the delivery organisations</w:t>
      </w:r>
      <w:r w:rsidR="00362CA5" w:rsidRPr="00631C1B">
        <w:t xml:space="preserve">, </w:t>
      </w:r>
      <w:r w:rsidR="00286859" w:rsidRPr="00631C1B">
        <w:t>apprenticeship roles, amongst others</w:t>
      </w:r>
      <w:r w:rsidRPr="00631C1B">
        <w:t xml:space="preserve">. </w:t>
      </w:r>
    </w:p>
    <w:p w14:paraId="043E8ABC" w14:textId="77777777" w:rsidR="00286859" w:rsidRPr="00631C1B" w:rsidRDefault="005158DC" w:rsidP="005158DC">
      <w:pPr>
        <w:pStyle w:val="BodyText"/>
      </w:pPr>
      <w:r w:rsidRPr="00631C1B">
        <w:t xml:space="preserve">The Targeted Fund </w:t>
      </w:r>
      <w:r w:rsidR="00286859" w:rsidRPr="00631C1B">
        <w:t xml:space="preserve">had a </w:t>
      </w:r>
      <w:r w:rsidRPr="00631C1B">
        <w:t>range of targets for engaging young people in learning, training and employment, as well as enabling them to move into positive destinations once completing</w:t>
      </w:r>
      <w:r w:rsidR="00710766" w:rsidRPr="00631C1B">
        <w:t xml:space="preserve"> their participation</w:t>
      </w:r>
      <w:r w:rsidRPr="00631C1B">
        <w:t xml:space="preserve">. </w:t>
      </w:r>
    </w:p>
    <w:p w14:paraId="1CAEF9C1" w14:textId="6B1E14DD" w:rsidR="001359E5" w:rsidRPr="00631C1B" w:rsidRDefault="0047247B" w:rsidP="005158DC">
      <w:pPr>
        <w:pStyle w:val="BodyText"/>
      </w:pPr>
      <w:r w:rsidRPr="00631C1B">
        <w:t xml:space="preserve">It was anticipated that Open Fund projects would be less likely to </w:t>
      </w:r>
      <w:r w:rsidR="008A695D" w:rsidRPr="00631C1B">
        <w:t xml:space="preserve">achieve clear progression into positive destinations </w:t>
      </w:r>
      <w:r w:rsidR="00696932" w:rsidRPr="00631C1B">
        <w:t>based on their lower grant amounts and generally shorter time spans</w:t>
      </w:r>
      <w:r w:rsidR="001359E5" w:rsidRPr="00631C1B">
        <w:t xml:space="preserve"> of up to a year. However,</w:t>
      </w:r>
      <w:r w:rsidR="00696932" w:rsidRPr="00631C1B">
        <w:t xml:space="preserve"> some </w:t>
      </w:r>
      <w:r w:rsidR="001359E5" w:rsidRPr="00631C1B">
        <w:t xml:space="preserve">Open Fund projects </w:t>
      </w:r>
      <w:r w:rsidR="00D754F0" w:rsidRPr="00631C1B">
        <w:t>did report data on positive destinations</w:t>
      </w:r>
      <w:r w:rsidR="001359E5" w:rsidRPr="00631C1B">
        <w:t xml:space="preserve">. </w:t>
      </w:r>
      <w:r w:rsidR="006A0545" w:rsidRPr="00631C1B">
        <w:t xml:space="preserve">These </w:t>
      </w:r>
      <w:r w:rsidR="00D754F0" w:rsidRPr="00631C1B">
        <w:t>observations</w:t>
      </w:r>
      <w:r w:rsidR="001359E5" w:rsidRPr="00631C1B">
        <w:t xml:space="preserve"> are</w:t>
      </w:r>
      <w:r w:rsidR="00D754F0" w:rsidRPr="00631C1B">
        <w:t xml:space="preserve"> included </w:t>
      </w:r>
      <w:r w:rsidR="001359E5" w:rsidRPr="00631C1B">
        <w:t>in this section</w:t>
      </w:r>
      <w:r w:rsidR="00D754F0" w:rsidRPr="00631C1B">
        <w:t>.</w:t>
      </w:r>
      <w:r w:rsidR="001E12F1" w:rsidRPr="00631C1B">
        <w:t xml:space="preserve"> </w:t>
      </w:r>
    </w:p>
    <w:p w14:paraId="7AF4ACEC" w14:textId="26AF0B9A" w:rsidR="005158DC" w:rsidRPr="00631C1B" w:rsidRDefault="00D754F0" w:rsidP="005158DC">
      <w:pPr>
        <w:pStyle w:val="BodyText"/>
      </w:pPr>
      <w:r w:rsidRPr="00631C1B">
        <w:t xml:space="preserve">It is important to note that </w:t>
      </w:r>
      <w:r w:rsidR="00CE0382" w:rsidRPr="00631C1B">
        <w:t xml:space="preserve">the </w:t>
      </w:r>
      <w:r w:rsidR="00524B98" w:rsidRPr="00631C1B">
        <w:t>positive destinations expected for participants is highly contingent on the</w:t>
      </w:r>
      <w:r w:rsidR="00314099" w:rsidRPr="00631C1B">
        <w:t xml:space="preserve"> </w:t>
      </w:r>
      <w:r w:rsidR="00524B98" w:rsidRPr="00631C1B">
        <w:t>specific circumstances</w:t>
      </w:r>
      <w:r w:rsidR="00C72B1A" w:rsidRPr="00631C1B">
        <w:t xml:space="preserve">, </w:t>
      </w:r>
      <w:r w:rsidR="00524B98" w:rsidRPr="00631C1B">
        <w:t>needs</w:t>
      </w:r>
      <w:r w:rsidR="001359E5" w:rsidRPr="00631C1B">
        <w:t xml:space="preserve"> </w:t>
      </w:r>
      <w:r w:rsidR="00C72B1A" w:rsidRPr="00631C1B">
        <w:t xml:space="preserve">and aspirations </w:t>
      </w:r>
      <w:r w:rsidR="001359E5" w:rsidRPr="00631C1B">
        <w:t xml:space="preserve">of the </w:t>
      </w:r>
      <w:r w:rsidR="00314099" w:rsidRPr="00631C1B">
        <w:t xml:space="preserve">young people. Similarly, it’s important to be </w:t>
      </w:r>
      <w:r w:rsidR="005278E2" w:rsidRPr="00631C1B">
        <w:t xml:space="preserve">mindful of </w:t>
      </w:r>
      <w:r w:rsidR="00314099" w:rsidRPr="00631C1B">
        <w:t xml:space="preserve">varying </w:t>
      </w:r>
      <w:r w:rsidR="005278E2" w:rsidRPr="00631C1B">
        <w:t>project design and duration</w:t>
      </w:r>
      <w:r w:rsidR="001E12F1" w:rsidRPr="00631C1B">
        <w:t>.</w:t>
      </w:r>
    </w:p>
    <w:p w14:paraId="26EA7A36" w14:textId="091712EF" w:rsidR="006751E4" w:rsidRPr="00631C1B" w:rsidRDefault="006751E4" w:rsidP="005158DC">
      <w:pPr>
        <w:pStyle w:val="BodyText"/>
      </w:pPr>
      <w:r w:rsidRPr="00631C1B">
        <w:t xml:space="preserve">The total number of </w:t>
      </w:r>
      <w:r w:rsidR="00A63E1B" w:rsidRPr="00631C1B">
        <w:t xml:space="preserve">Targeted Fund </w:t>
      </w:r>
      <w:r w:rsidRPr="00631C1B">
        <w:t xml:space="preserve">participants in training or learning as part of the programme in Year </w:t>
      </w:r>
      <w:r w:rsidR="008C2932" w:rsidRPr="00631C1B">
        <w:t>3</w:t>
      </w:r>
      <w:r w:rsidRPr="00631C1B">
        <w:t xml:space="preserve"> was</w:t>
      </w:r>
      <w:r w:rsidR="00B81F35" w:rsidRPr="00631C1B">
        <w:t xml:space="preserve"> </w:t>
      </w:r>
      <w:r w:rsidR="0098704E" w:rsidRPr="00631C1B">
        <w:t xml:space="preserve">2,436, accounting for </w:t>
      </w:r>
      <w:r w:rsidR="00A63E1B" w:rsidRPr="00631C1B">
        <w:t>nearly half (46%)</w:t>
      </w:r>
      <w:r w:rsidR="00691161" w:rsidRPr="00631C1B">
        <w:t xml:space="preserve"> of the Fund’s participants</w:t>
      </w:r>
      <w:r w:rsidR="00E47412" w:rsidRPr="00631C1B">
        <w:t xml:space="preserve">. </w:t>
      </w:r>
      <w:r w:rsidR="008C2932" w:rsidRPr="00631C1B">
        <w:t xml:space="preserve">By the end of the programme, a total of </w:t>
      </w:r>
      <w:r w:rsidR="00691161" w:rsidRPr="00631C1B">
        <w:t>7,203</w:t>
      </w:r>
      <w:r w:rsidR="008C2932" w:rsidRPr="00631C1B">
        <w:t xml:space="preserve"> participants </w:t>
      </w:r>
      <w:r w:rsidR="00964183" w:rsidRPr="00D768FF">
        <w:t>had</w:t>
      </w:r>
      <w:r w:rsidR="007143E4" w:rsidRPr="00D768FF">
        <w:t xml:space="preserve"> engage</w:t>
      </w:r>
      <w:r w:rsidR="00D768FF" w:rsidRPr="00D768FF">
        <w:t>d</w:t>
      </w:r>
      <w:r w:rsidR="007143E4" w:rsidRPr="00631C1B">
        <w:t xml:space="preserve"> with </w:t>
      </w:r>
      <w:r w:rsidR="00FF492A" w:rsidRPr="00631C1B">
        <w:t>t</w:t>
      </w:r>
      <w:r w:rsidR="008C2932" w:rsidRPr="00631C1B">
        <w:t>raining or learning as part of the programme</w:t>
      </w:r>
      <w:r w:rsidR="00723B70" w:rsidRPr="00631C1B">
        <w:t xml:space="preserve">, accounting for half (51%) of the </w:t>
      </w:r>
      <w:r w:rsidR="007143E4" w:rsidRPr="00631C1B">
        <w:t xml:space="preserve">all Targeted </w:t>
      </w:r>
      <w:r w:rsidR="00723B70" w:rsidRPr="00631C1B">
        <w:t>Fund participants</w:t>
      </w:r>
      <w:r w:rsidR="007143E4" w:rsidRPr="00631C1B">
        <w:t xml:space="preserve"> over the three years</w:t>
      </w:r>
      <w:r w:rsidR="00964183" w:rsidRPr="00631C1B">
        <w:t>.</w:t>
      </w:r>
    </w:p>
    <w:p w14:paraId="00912B13" w14:textId="1AE0AC36" w:rsidR="00A11C6F" w:rsidRPr="00631C1B" w:rsidRDefault="00A11C6F" w:rsidP="00BD2E41">
      <w:pPr>
        <w:pStyle w:val="Subheadingnonumber"/>
      </w:pPr>
    </w:p>
    <w:p w14:paraId="6184BB88" w14:textId="69B25035" w:rsidR="00BD2E41" w:rsidRPr="00631C1B" w:rsidRDefault="00BD2E41" w:rsidP="00BD2E41">
      <w:pPr>
        <w:pStyle w:val="Subheadingnonumber"/>
      </w:pPr>
      <w:r w:rsidRPr="00631C1B">
        <w:t>Key findings</w:t>
      </w:r>
      <w:r w:rsidR="00327B38" w:rsidRPr="00631C1B">
        <w:t xml:space="preserve"> for Year 3</w:t>
      </w:r>
    </w:p>
    <w:p w14:paraId="7C49E0DC" w14:textId="5B9227BB" w:rsidR="00BD2E41" w:rsidRPr="00631C1B" w:rsidRDefault="00BD2E41" w:rsidP="00BD2E41">
      <w:pPr>
        <w:pStyle w:val="BodyText"/>
        <w:rPr>
          <w:b/>
        </w:rPr>
      </w:pPr>
      <w:r w:rsidRPr="00631C1B">
        <w:rPr>
          <w:b/>
        </w:rPr>
        <w:t xml:space="preserve">Targeted </w:t>
      </w:r>
      <w:r w:rsidR="00D9228C" w:rsidRPr="00631C1B">
        <w:rPr>
          <w:b/>
        </w:rPr>
        <w:t>F</w:t>
      </w:r>
      <w:r w:rsidRPr="00631C1B">
        <w:rPr>
          <w:b/>
        </w:rPr>
        <w:t>und</w:t>
      </w:r>
    </w:p>
    <w:p w14:paraId="317D8E75" w14:textId="6FF2E0E2" w:rsidR="009276F4" w:rsidRPr="00631C1B" w:rsidRDefault="009276F4" w:rsidP="009276F4">
      <w:pPr>
        <w:pStyle w:val="ListBullet"/>
      </w:pPr>
      <w:r w:rsidRPr="00631C1B">
        <w:t xml:space="preserve">Of </w:t>
      </w:r>
      <w:r w:rsidR="00B23EB6" w:rsidRPr="00631C1B">
        <w:t xml:space="preserve">the </w:t>
      </w:r>
      <w:r w:rsidRPr="00631C1B">
        <w:t xml:space="preserve">data available, </w:t>
      </w:r>
      <w:r w:rsidR="00B23EB6" w:rsidRPr="00631C1B">
        <w:t xml:space="preserve">Targeted Fund projects had </w:t>
      </w:r>
      <w:r w:rsidRPr="00631C1B">
        <w:t xml:space="preserve">big successes in </w:t>
      </w:r>
      <w:r w:rsidR="00B23EB6" w:rsidRPr="00631C1B">
        <w:t xml:space="preserve">certain positive destinations, such as </w:t>
      </w:r>
      <w:r w:rsidR="008B25AB" w:rsidRPr="00631C1B">
        <w:t>further informal learning opportunity with their organisation</w:t>
      </w:r>
      <w:r w:rsidR="00082407" w:rsidRPr="00631C1B">
        <w:t>,</w:t>
      </w:r>
      <w:r w:rsidR="001B7A62" w:rsidRPr="00631C1B">
        <w:t xml:space="preserve"> as well as participants remaining at or returning to school. Whilst there was </w:t>
      </w:r>
      <w:r w:rsidRPr="00631C1B">
        <w:t>less</w:t>
      </w:r>
      <w:r w:rsidR="001B7A62" w:rsidRPr="00631C1B">
        <w:t xml:space="preserve"> successes </w:t>
      </w:r>
      <w:r w:rsidRPr="00631C1B">
        <w:t>in others</w:t>
      </w:r>
      <w:r w:rsidR="00082407" w:rsidRPr="00631C1B">
        <w:t xml:space="preserve">, such as </w:t>
      </w:r>
      <w:r w:rsidRPr="00631C1B">
        <w:t>informal learning in other partner</w:t>
      </w:r>
      <w:r w:rsidR="00082407" w:rsidRPr="00631C1B">
        <w:t xml:space="preserve"> organisations</w:t>
      </w:r>
      <w:r w:rsidR="001B7A62" w:rsidRPr="00631C1B">
        <w:t xml:space="preserve"> and </w:t>
      </w:r>
      <w:r w:rsidR="004F2451" w:rsidRPr="00631C1B">
        <w:t>being employed in a Modern Apprenticeship</w:t>
      </w:r>
    </w:p>
    <w:p w14:paraId="7396621E" w14:textId="42310A05" w:rsidR="009276F4" w:rsidRPr="00631C1B" w:rsidRDefault="002E12C7" w:rsidP="009276F4">
      <w:pPr>
        <w:pStyle w:val="ListBullet"/>
      </w:pPr>
      <w:r w:rsidRPr="00631C1B">
        <w:t>P</w:t>
      </w:r>
      <w:r w:rsidR="009276F4" w:rsidRPr="00631C1B">
        <w:t>articipants had poor or often very little experience of moving into learning or training settings, courses and</w:t>
      </w:r>
      <w:r w:rsidR="004F2451" w:rsidRPr="00631C1B">
        <w:t xml:space="preserve"> </w:t>
      </w:r>
      <w:r w:rsidR="009276F4" w:rsidRPr="00631C1B">
        <w:t>/</w:t>
      </w:r>
      <w:r w:rsidR="004F2451" w:rsidRPr="00631C1B">
        <w:t xml:space="preserve"> </w:t>
      </w:r>
      <w:r w:rsidR="009276F4" w:rsidRPr="00631C1B">
        <w:t>or employment</w:t>
      </w:r>
      <w:r w:rsidR="00A54CF5" w:rsidRPr="00631C1B">
        <w:t xml:space="preserve">. This was </w:t>
      </w:r>
      <w:r w:rsidR="009276F4" w:rsidRPr="00631C1B">
        <w:t xml:space="preserve">often </w:t>
      </w:r>
      <w:r w:rsidR="00A54CF5" w:rsidRPr="00631C1B">
        <w:t xml:space="preserve">because such progression routes were </w:t>
      </w:r>
      <w:r w:rsidR="009276F4" w:rsidRPr="00631C1B">
        <w:t>not part of their current goals</w:t>
      </w:r>
    </w:p>
    <w:p w14:paraId="095CF90A" w14:textId="77777777" w:rsidR="000A3C27" w:rsidRPr="00631C1B" w:rsidRDefault="00792F7A" w:rsidP="00B412FE">
      <w:pPr>
        <w:pStyle w:val="ListBullet"/>
      </w:pPr>
      <w:r w:rsidRPr="00631C1B">
        <w:t>Several projects reported a n</w:t>
      </w:r>
      <w:r w:rsidR="009276F4" w:rsidRPr="00631C1B">
        <w:t>eed to first work on the</w:t>
      </w:r>
      <w:r w:rsidRPr="00631C1B">
        <w:t xml:space="preserve"> participants’</w:t>
      </w:r>
      <w:r w:rsidR="009276F4" w:rsidRPr="00631C1B">
        <w:t xml:space="preserve"> soft skills</w:t>
      </w:r>
      <w:r w:rsidRPr="00631C1B">
        <w:t xml:space="preserve">. </w:t>
      </w:r>
      <w:r w:rsidR="00D33881" w:rsidRPr="00631C1B">
        <w:t xml:space="preserve">Participants’ </w:t>
      </w:r>
      <w:r w:rsidR="009276F4" w:rsidRPr="00631C1B">
        <w:t xml:space="preserve">confidence, teamwork, time management, responsibility management, </w:t>
      </w:r>
      <w:r w:rsidR="00D33881" w:rsidRPr="00631C1B">
        <w:t xml:space="preserve">amongst others, </w:t>
      </w:r>
      <w:proofErr w:type="gramStart"/>
      <w:r w:rsidR="00A34EBD" w:rsidRPr="00631C1B">
        <w:t>were seen as</w:t>
      </w:r>
      <w:proofErr w:type="gramEnd"/>
      <w:r w:rsidR="00A34EBD" w:rsidRPr="00631C1B">
        <w:t xml:space="preserve"> the </w:t>
      </w:r>
      <w:r w:rsidR="00B41EE6" w:rsidRPr="00631C1B">
        <w:t xml:space="preserve">first stage outcomes </w:t>
      </w:r>
      <w:r w:rsidR="00A34EBD" w:rsidRPr="00631C1B">
        <w:t>which needed establish</w:t>
      </w:r>
      <w:r w:rsidR="0032662B" w:rsidRPr="00631C1B">
        <w:t>ed</w:t>
      </w:r>
      <w:r w:rsidR="00A34EBD" w:rsidRPr="00631C1B">
        <w:t xml:space="preserve"> </w:t>
      </w:r>
      <w:r w:rsidR="009276F4" w:rsidRPr="00631C1B">
        <w:t xml:space="preserve">before expecting </w:t>
      </w:r>
      <w:r w:rsidR="00A34EBD" w:rsidRPr="00631C1B">
        <w:t xml:space="preserve">participants </w:t>
      </w:r>
      <w:r w:rsidR="009276F4" w:rsidRPr="00631C1B">
        <w:t xml:space="preserve">to progress </w:t>
      </w:r>
      <w:r w:rsidRPr="00631C1B">
        <w:t>in</w:t>
      </w:r>
      <w:r w:rsidR="009276F4" w:rsidRPr="00631C1B">
        <w:t>to positive destinations</w:t>
      </w:r>
    </w:p>
    <w:p w14:paraId="11D5C2A1" w14:textId="11E84396" w:rsidR="000A3C27" w:rsidRPr="00631C1B" w:rsidRDefault="00755091" w:rsidP="00BD2E41">
      <w:pPr>
        <w:pStyle w:val="BodyText"/>
        <w:rPr>
          <w:b/>
        </w:rPr>
      </w:pPr>
      <w:r w:rsidRPr="00631C1B">
        <w:t>Most</w:t>
      </w:r>
      <w:r w:rsidR="2A1DFB4F" w:rsidRPr="00631C1B">
        <w:t xml:space="preserve"> projects </w:t>
      </w:r>
      <w:r w:rsidR="00E60912" w:rsidRPr="00631C1B">
        <w:t xml:space="preserve">promoted </w:t>
      </w:r>
      <w:r w:rsidR="00825D2D" w:rsidRPr="00631C1B">
        <w:t xml:space="preserve">and brokered </w:t>
      </w:r>
      <w:r w:rsidR="00CB3986" w:rsidRPr="00631C1B">
        <w:t>local training opportunities across adjacent organisations and colleges</w:t>
      </w:r>
      <w:r w:rsidRPr="00631C1B">
        <w:t>. A</w:t>
      </w:r>
      <w:r w:rsidR="003B7043" w:rsidRPr="00631C1B">
        <w:t xml:space="preserve">lthough it was also reported that these opportunities had to </w:t>
      </w:r>
      <w:r w:rsidR="000A1F42" w:rsidRPr="00631C1B">
        <w:t>be made bespoke to individual participants to be most successful</w:t>
      </w:r>
      <w:r w:rsidRPr="00631C1B">
        <w:t>, rather than taking a ‘cooki</w:t>
      </w:r>
      <w:r w:rsidR="0032662B" w:rsidRPr="00631C1B">
        <w:t>e</w:t>
      </w:r>
      <w:r w:rsidRPr="00631C1B">
        <w:t xml:space="preserve"> cutter approach’</w:t>
      </w:r>
      <w:r w:rsidR="00C9429F" w:rsidRPr="00631C1B">
        <w:t>.</w:t>
      </w:r>
    </w:p>
    <w:p w14:paraId="27E0E166" w14:textId="505CC3F1" w:rsidR="00BD2E41" w:rsidRPr="00631C1B" w:rsidRDefault="00BD2E41" w:rsidP="00BD2E41">
      <w:pPr>
        <w:pStyle w:val="BodyText"/>
        <w:rPr>
          <w:b/>
        </w:rPr>
      </w:pPr>
      <w:r w:rsidRPr="00631C1B">
        <w:rPr>
          <w:b/>
        </w:rPr>
        <w:t>Open Fund</w:t>
      </w:r>
    </w:p>
    <w:p w14:paraId="692CF33A" w14:textId="1678D350" w:rsidR="00E368A8" w:rsidRPr="00631C1B" w:rsidRDefault="00C9429F" w:rsidP="00F2311B">
      <w:pPr>
        <w:pStyle w:val="ListBullet"/>
      </w:pPr>
      <w:r w:rsidRPr="00631C1B">
        <w:t>Like some Targeted Fund projects, f</w:t>
      </w:r>
      <w:r w:rsidR="2A1DFB4F" w:rsidRPr="00631C1B">
        <w:t>uture partnerships and connections were enabled and developed</w:t>
      </w:r>
      <w:r w:rsidR="00B0691E" w:rsidRPr="00631C1B">
        <w:t>, with</w:t>
      </w:r>
      <w:r w:rsidR="2A1DFB4F" w:rsidRPr="00631C1B">
        <w:t xml:space="preserve"> partner </w:t>
      </w:r>
      <w:r w:rsidR="00B0691E" w:rsidRPr="00631C1B">
        <w:t>organisations</w:t>
      </w:r>
      <w:r w:rsidR="2A1DFB4F" w:rsidRPr="00631C1B">
        <w:t xml:space="preserve"> request</w:t>
      </w:r>
      <w:r w:rsidR="00B0691E" w:rsidRPr="00631C1B">
        <w:t>ing</w:t>
      </w:r>
      <w:r w:rsidR="2A1DFB4F" w:rsidRPr="00631C1B">
        <w:t xml:space="preserve"> that artists return and do </w:t>
      </w:r>
      <w:r w:rsidR="00B0691E" w:rsidRPr="00631C1B">
        <w:t xml:space="preserve">further </w:t>
      </w:r>
      <w:r w:rsidR="2A1DFB4F" w:rsidRPr="00631C1B">
        <w:t>work</w:t>
      </w:r>
      <w:r w:rsidR="00B0691E" w:rsidRPr="00631C1B">
        <w:t xml:space="preserve"> following the programme</w:t>
      </w:r>
      <w:r w:rsidR="2A1DFB4F" w:rsidRPr="00631C1B">
        <w:t>, such as</w:t>
      </w:r>
      <w:r w:rsidR="00EC2CDA" w:rsidRPr="00631C1B">
        <w:t xml:space="preserve"> the TDI Music Project</w:t>
      </w:r>
    </w:p>
    <w:p w14:paraId="10E18D6B" w14:textId="47E550B6" w:rsidR="00AF12DD" w:rsidRPr="00631C1B" w:rsidRDefault="2A1DFB4F" w:rsidP="00EB1C5B">
      <w:pPr>
        <w:pStyle w:val="ListBullet"/>
      </w:pPr>
      <w:r w:rsidRPr="00631C1B">
        <w:t xml:space="preserve">Barriers to attainment, such as lack of skills development and lack of focus, were reduced by providing opportunities to young people to </w:t>
      </w:r>
      <w:r w:rsidR="00704201" w:rsidRPr="00631C1B">
        <w:t xml:space="preserve">develop at a pace that suited them and encouraging </w:t>
      </w:r>
      <w:r w:rsidR="00256B4F" w:rsidRPr="00631C1B">
        <w:t>accreditation that can be adapted easily across art forms (e.g. Arts Award)</w:t>
      </w:r>
      <w:r w:rsidR="000045B0" w:rsidRPr="00631C1B">
        <w:t>.</w:t>
      </w:r>
    </w:p>
    <w:p w14:paraId="3E66C23A" w14:textId="352D0583" w:rsidR="00A41210" w:rsidRPr="00631C1B" w:rsidRDefault="00A41210" w:rsidP="00D55BDF">
      <w:pPr>
        <w:pStyle w:val="Quotesmall"/>
      </w:pPr>
    </w:p>
    <w:p w14:paraId="6CA0B9B4" w14:textId="439D6396" w:rsidR="00327B38" w:rsidRPr="00631C1B" w:rsidRDefault="00327B38" w:rsidP="00327B38">
      <w:pPr>
        <w:pStyle w:val="Subheadingnonumber"/>
      </w:pPr>
      <w:r w:rsidRPr="00631C1B">
        <w:lastRenderedPageBreak/>
        <w:t xml:space="preserve">Key findings for </w:t>
      </w:r>
      <w:r w:rsidR="00D9228C" w:rsidRPr="00631C1B">
        <w:t>Targeted Fund across all years</w:t>
      </w:r>
    </w:p>
    <w:p w14:paraId="6D012885" w14:textId="218EC8B3" w:rsidR="00327B38" w:rsidRPr="00631C1B" w:rsidRDefault="00327B38" w:rsidP="00327B38">
      <w:pPr>
        <w:pStyle w:val="BodyText"/>
        <w:rPr>
          <w:b/>
        </w:rPr>
      </w:pPr>
      <w:r w:rsidRPr="00631C1B">
        <w:rPr>
          <w:b/>
        </w:rPr>
        <w:t xml:space="preserve">Targeted </w:t>
      </w:r>
      <w:r w:rsidR="00D9228C" w:rsidRPr="00631C1B">
        <w:rPr>
          <w:b/>
        </w:rPr>
        <w:t>F</w:t>
      </w:r>
      <w:r w:rsidRPr="00631C1B">
        <w:rPr>
          <w:b/>
        </w:rPr>
        <w:t>und</w:t>
      </w:r>
    </w:p>
    <w:p w14:paraId="43767944" w14:textId="66426D37" w:rsidR="00F619B3" w:rsidRPr="00631C1B" w:rsidRDefault="00F504DE" w:rsidP="00F619B3">
      <w:pPr>
        <w:pStyle w:val="ListBullet"/>
      </w:pPr>
      <w:r w:rsidRPr="00631C1B">
        <w:t>By the end of the programme, most projects had either met or surpassed their target</w:t>
      </w:r>
      <w:r w:rsidR="00AD69C6" w:rsidRPr="00631C1B">
        <w:t xml:space="preserve">, </w:t>
      </w:r>
      <w:r w:rsidR="00F619B3" w:rsidRPr="00631C1B">
        <w:t>especially for those continuing with informal learning at the host organisation</w:t>
      </w:r>
    </w:p>
    <w:p w14:paraId="0D96AFC2" w14:textId="38313970" w:rsidR="002C3D8B" w:rsidRPr="00631C1B" w:rsidRDefault="00A9349B" w:rsidP="002C3D8B">
      <w:pPr>
        <w:pStyle w:val="ListBullet"/>
      </w:pPr>
      <w:r w:rsidRPr="00631C1B">
        <w:t xml:space="preserve">Successful </w:t>
      </w:r>
      <w:r w:rsidR="00AD69C6" w:rsidRPr="00631C1B">
        <w:t xml:space="preserve">projects spoke about </w:t>
      </w:r>
      <w:r w:rsidR="00DD561B" w:rsidRPr="00631C1B">
        <w:t xml:space="preserve">how they were able to broker onward destinations </w:t>
      </w:r>
      <w:r w:rsidR="00F619B3" w:rsidRPr="00631C1B">
        <w:t>through careful project management, targeting</w:t>
      </w:r>
      <w:r w:rsidR="00143551" w:rsidRPr="00631C1B">
        <w:t xml:space="preserve"> young people</w:t>
      </w:r>
      <w:r w:rsidR="00F619B3" w:rsidRPr="00631C1B">
        <w:t xml:space="preserve"> who are likely to benefit, as well as effective partnership working</w:t>
      </w:r>
      <w:r w:rsidR="00143551" w:rsidRPr="00631C1B">
        <w:t>. Having a w</w:t>
      </w:r>
      <w:r w:rsidR="00F619B3" w:rsidRPr="00631C1B">
        <w:t>ide range of progression pathways</w:t>
      </w:r>
      <w:r w:rsidR="00143551" w:rsidRPr="00631C1B">
        <w:t xml:space="preserve"> also allowed the participants to determine th</w:t>
      </w:r>
      <w:r w:rsidR="00164AB1" w:rsidRPr="00631C1B">
        <w:t>e next step that suited their own aspirations</w:t>
      </w:r>
      <w:r w:rsidR="00143551" w:rsidRPr="00631C1B">
        <w:t xml:space="preserve"> </w:t>
      </w:r>
    </w:p>
    <w:p w14:paraId="537554C1" w14:textId="356D8938" w:rsidR="003A4E9A" w:rsidRPr="00631C1B" w:rsidRDefault="003A4E9A" w:rsidP="00EB1C5B">
      <w:pPr>
        <w:pStyle w:val="ListBullet"/>
      </w:pPr>
      <w:r w:rsidRPr="00631C1B">
        <w:t xml:space="preserve">Successful projects were also </w:t>
      </w:r>
      <w:r w:rsidR="00145245" w:rsidRPr="00631C1B">
        <w:t xml:space="preserve">those who were able to offer a </w:t>
      </w:r>
      <w:r w:rsidRPr="00631C1B">
        <w:t>range of progression pathways</w:t>
      </w:r>
      <w:r w:rsidR="00145245" w:rsidRPr="00631C1B">
        <w:t>. For example, Fire</w:t>
      </w:r>
      <w:r w:rsidR="008D23BC" w:rsidRPr="00631C1B">
        <w:t>fly</w:t>
      </w:r>
      <w:r w:rsidR="00C92698" w:rsidRPr="00631C1B">
        <w:t xml:space="preserve"> Arts</w:t>
      </w:r>
      <w:r w:rsidR="008D23BC" w:rsidRPr="00631C1B">
        <w:t xml:space="preserve"> were able to offer</w:t>
      </w:r>
      <w:r w:rsidRPr="00631C1B">
        <w:t xml:space="preserve"> Dynamic Youth</w:t>
      </w:r>
      <w:r w:rsidR="008D23BC" w:rsidRPr="00631C1B">
        <w:t xml:space="preserve"> Award</w:t>
      </w:r>
      <w:r w:rsidRPr="00631C1B">
        <w:t xml:space="preserve"> and Duke of Edinburgh Award schemes, workplace mentoring and experience, individual support into further education, training and employment, and t</w:t>
      </w:r>
      <w:r w:rsidR="008D23BC" w:rsidRPr="00631C1B">
        <w:t>ook an</w:t>
      </w:r>
      <w:r w:rsidRPr="00631C1B">
        <w:t xml:space="preserve"> active role in delivering public screenings, exhibitions and performance events</w:t>
      </w:r>
    </w:p>
    <w:p w14:paraId="2B312051" w14:textId="2A925F1D" w:rsidR="00110220" w:rsidRPr="00631C1B" w:rsidRDefault="00164AB1" w:rsidP="00EB1C5B">
      <w:pPr>
        <w:pStyle w:val="ListBullet"/>
      </w:pPr>
      <w:r w:rsidRPr="00631C1B">
        <w:t>A consistent c</w:t>
      </w:r>
      <w:r w:rsidR="00AD69C6" w:rsidRPr="00631C1B">
        <w:t>hallenge</w:t>
      </w:r>
      <w:r w:rsidRPr="00631C1B">
        <w:t xml:space="preserve"> for </w:t>
      </w:r>
      <w:r w:rsidR="00B03BED" w:rsidRPr="00631C1B">
        <w:t>projects</w:t>
      </w:r>
      <w:r w:rsidR="00A26666" w:rsidRPr="00631C1B">
        <w:t xml:space="preserve"> across the three years </w:t>
      </w:r>
      <w:r w:rsidR="00B03BED" w:rsidRPr="00631C1B">
        <w:t>was to ensure their p</w:t>
      </w:r>
      <w:r w:rsidR="00AD69C6" w:rsidRPr="00631C1B">
        <w:t xml:space="preserve">artner relationships </w:t>
      </w:r>
      <w:r w:rsidR="00B03BED" w:rsidRPr="00631C1B">
        <w:t>were a</w:t>
      </w:r>
      <w:r w:rsidR="00AD69C6" w:rsidRPr="00631C1B">
        <w:t xml:space="preserve">ble to facilitate follow-up engagement with </w:t>
      </w:r>
      <w:r w:rsidR="00B03BED" w:rsidRPr="00631C1B">
        <w:t>participants.</w:t>
      </w:r>
    </w:p>
    <w:p w14:paraId="57AE6565" w14:textId="77777777" w:rsidR="00B92D1F" w:rsidRPr="00631C1B" w:rsidRDefault="00B92D1F" w:rsidP="00B92D1F">
      <w:pPr>
        <w:pStyle w:val="Subheadingnonumber"/>
      </w:pPr>
      <w:r w:rsidRPr="00631C1B">
        <w:t>Key programme learning</w:t>
      </w:r>
    </w:p>
    <w:p w14:paraId="5874C9B4" w14:textId="77777777" w:rsidR="00B92D1F" w:rsidRPr="00631C1B" w:rsidRDefault="00B92D1F" w:rsidP="00B92D1F">
      <w:pPr>
        <w:pStyle w:val="ListBullet"/>
      </w:pPr>
      <w:r w:rsidRPr="00631C1B">
        <w:t>The definition of ‘positive destinations’ is relatively broad and should be agreed with projects on a case-by-case basis. For young people who are excluded from school a positive destination is a reorientation to education (recognising the likely complex structural barriers to actual re-entry into education), for those who need support to apply to college or an apprenticeship another set of activities and support is required. For some participants the opportunity to stay and progress within a project is the most positive destination (or ‘location’). These will be largely context and cohort dependent, with flexibility of definition allowed</w:t>
      </w:r>
    </w:p>
    <w:p w14:paraId="4C5799A6" w14:textId="136ADB74" w:rsidR="00B92D1F" w:rsidRPr="00631C1B" w:rsidRDefault="00B92D1F" w:rsidP="00B92D1F">
      <w:pPr>
        <w:pStyle w:val="ListBullet"/>
      </w:pPr>
      <w:r w:rsidRPr="00631C1B">
        <w:t xml:space="preserve">Well-established and mutual partnerships are often key to enabling ‘positive destinations’ external to project activity. It should be acknowledged in </w:t>
      </w:r>
      <w:r w:rsidRPr="00631C1B">
        <w:t>funding design and project planning that building and maintaining a range of appropriate partnerships will require time and resources.</w:t>
      </w:r>
    </w:p>
    <w:p w14:paraId="3B2A3A78" w14:textId="77777777" w:rsidR="00DD5060" w:rsidRPr="00631C1B" w:rsidRDefault="00DD5060" w:rsidP="0043749D">
      <w:pPr>
        <w:pStyle w:val="Caption"/>
      </w:pPr>
    </w:p>
    <w:p w14:paraId="7DB8C716" w14:textId="77777777" w:rsidR="00F94CF9" w:rsidRPr="00631C1B" w:rsidRDefault="00F94CF9" w:rsidP="00F94CF9"/>
    <w:p w14:paraId="71C9330E" w14:textId="77777777" w:rsidR="00F94CF9" w:rsidRPr="00631C1B" w:rsidRDefault="00F94CF9" w:rsidP="00F94CF9"/>
    <w:p w14:paraId="1370322D" w14:textId="77777777" w:rsidR="00F94CF9" w:rsidRPr="00631C1B" w:rsidRDefault="00F94CF9" w:rsidP="00F94CF9"/>
    <w:p w14:paraId="23C9F08C" w14:textId="77777777" w:rsidR="00F94CF9" w:rsidRPr="00631C1B" w:rsidRDefault="00F94CF9" w:rsidP="00F94CF9"/>
    <w:p w14:paraId="30752706" w14:textId="77777777" w:rsidR="00F94CF9" w:rsidRPr="00631C1B" w:rsidRDefault="00F94CF9" w:rsidP="00F94CF9"/>
    <w:p w14:paraId="59963DE7" w14:textId="77777777" w:rsidR="00F94CF9" w:rsidRPr="00631C1B" w:rsidRDefault="00F94CF9" w:rsidP="00F94CF9"/>
    <w:p w14:paraId="7A997101" w14:textId="77777777" w:rsidR="00E13EEF" w:rsidRPr="00631C1B" w:rsidRDefault="00E13EEF" w:rsidP="0043749D">
      <w:pPr>
        <w:pStyle w:val="Caption"/>
      </w:pPr>
    </w:p>
    <w:p w14:paraId="396356CE" w14:textId="77777777" w:rsidR="00E13EEF" w:rsidRPr="00631C1B" w:rsidRDefault="00E13EEF">
      <w:pPr>
        <w:rPr>
          <w:b/>
          <w:bCs/>
          <w:szCs w:val="18"/>
        </w:rPr>
      </w:pPr>
      <w:r w:rsidRPr="00631C1B">
        <w:br w:type="page"/>
      </w:r>
    </w:p>
    <w:p w14:paraId="558AB0BC" w14:textId="780EA9C9" w:rsidR="0043749D" w:rsidRPr="00631C1B" w:rsidRDefault="0043749D" w:rsidP="00B92D1F">
      <w:pPr>
        <w:pStyle w:val="Caption"/>
      </w:pPr>
      <w:bookmarkStart w:id="41" w:name="_Toc42266750"/>
      <w:r w:rsidRPr="00631C1B">
        <w:lastRenderedPageBreak/>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15</w:t>
      </w:r>
      <w:r w:rsidRPr="00631C1B">
        <w:rPr>
          <w:noProof/>
        </w:rPr>
        <w:fldChar w:fldCharType="end"/>
      </w:r>
      <w:r w:rsidRPr="00631C1B">
        <w:t xml:space="preserve">  Where Targeted Fund participants have progressed to after completion of the programme (positive destinations) - Year 3</w:t>
      </w:r>
      <w:bookmarkEnd w:id="41"/>
    </w:p>
    <w:p w14:paraId="4F690593" w14:textId="77777777" w:rsidR="00B92D1F" w:rsidRPr="00631C1B" w:rsidRDefault="00B92D1F" w:rsidP="009A3F2B">
      <w:pPr>
        <w:rPr>
          <w:b/>
          <w:color w:val="3C5896" w:themeColor="accent1"/>
          <w:sz w:val="18"/>
          <w:szCs w:val="18"/>
        </w:rPr>
        <w:sectPr w:rsidR="00B92D1F" w:rsidRPr="00631C1B" w:rsidSect="00A508FD">
          <w:footerReference w:type="default" r:id="rId23"/>
          <w:type w:val="continuous"/>
          <w:pgSz w:w="16838" w:h="11906" w:orient="landscape"/>
          <w:pgMar w:top="1440" w:right="964" w:bottom="1440" w:left="964" w:header="709" w:footer="709" w:gutter="0"/>
          <w:cols w:num="2" w:space="708"/>
          <w:docGrid w:linePitch="360"/>
        </w:sectPr>
      </w:pPr>
    </w:p>
    <w:tbl>
      <w:tblPr>
        <w:tblStyle w:val="BOPtable"/>
        <w:tblW w:w="0" w:type="auto"/>
        <w:tblLayout w:type="fixed"/>
        <w:tblLook w:val="04A0" w:firstRow="1" w:lastRow="0" w:firstColumn="1" w:lastColumn="0" w:noHBand="0" w:noVBand="1"/>
      </w:tblPr>
      <w:tblGrid>
        <w:gridCol w:w="6527"/>
        <w:gridCol w:w="1918"/>
        <w:gridCol w:w="1985"/>
        <w:gridCol w:w="3192"/>
      </w:tblGrid>
      <w:tr w:rsidR="0043749D" w:rsidRPr="00631C1B" w14:paraId="31C65F19" w14:textId="77777777" w:rsidTr="00B92D1F">
        <w:trPr>
          <w:cnfStyle w:val="100000000000" w:firstRow="1" w:lastRow="0" w:firstColumn="0" w:lastColumn="0" w:oddVBand="0" w:evenVBand="0" w:oddHBand="0" w:evenHBand="0" w:firstRowFirstColumn="0" w:firstRowLastColumn="0" w:lastRowFirstColumn="0" w:lastRowLastColumn="0"/>
          <w:trHeight w:val="871"/>
        </w:trPr>
        <w:tc>
          <w:tcPr>
            <w:tcW w:w="6527" w:type="dxa"/>
            <w:tcBorders>
              <w:right w:val="single" w:sz="4" w:space="0" w:color="000000" w:themeColor="text1"/>
            </w:tcBorders>
          </w:tcPr>
          <w:p w14:paraId="44AAFAC8" w14:textId="28869E06" w:rsidR="0043749D" w:rsidRPr="00631C1B" w:rsidRDefault="0043749D" w:rsidP="009A3F2B">
            <w:pPr>
              <w:rPr>
                <w:sz w:val="18"/>
                <w:szCs w:val="18"/>
              </w:rPr>
            </w:pPr>
            <w:r w:rsidRPr="00631C1B">
              <w:rPr>
                <w:sz w:val="18"/>
                <w:szCs w:val="18"/>
              </w:rPr>
              <w:t>Indicator</w:t>
            </w:r>
          </w:p>
        </w:tc>
        <w:tc>
          <w:tcPr>
            <w:tcW w:w="1918" w:type="dxa"/>
            <w:tcBorders>
              <w:left w:val="single" w:sz="4" w:space="0" w:color="000000" w:themeColor="text1"/>
              <w:right w:val="single" w:sz="4" w:space="0" w:color="000000" w:themeColor="text1"/>
            </w:tcBorders>
          </w:tcPr>
          <w:p w14:paraId="6E63A65E" w14:textId="77777777" w:rsidR="0043749D" w:rsidRPr="00631C1B" w:rsidRDefault="0043749D" w:rsidP="009A3F2B">
            <w:pPr>
              <w:jc w:val="center"/>
              <w:rPr>
                <w:sz w:val="18"/>
                <w:szCs w:val="18"/>
              </w:rPr>
            </w:pPr>
            <w:r w:rsidRPr="00631C1B">
              <w:rPr>
                <w:sz w:val="18"/>
                <w:szCs w:val="18"/>
              </w:rPr>
              <w:t>Grant offer letter target</w:t>
            </w:r>
          </w:p>
        </w:tc>
        <w:tc>
          <w:tcPr>
            <w:tcW w:w="1985" w:type="dxa"/>
            <w:tcBorders>
              <w:left w:val="single" w:sz="4" w:space="0" w:color="000000" w:themeColor="text1"/>
              <w:right w:val="single" w:sz="4" w:space="0" w:color="000000" w:themeColor="text1"/>
            </w:tcBorders>
          </w:tcPr>
          <w:p w14:paraId="7FF24A92" w14:textId="77777777" w:rsidR="0043749D" w:rsidRPr="00631C1B" w:rsidRDefault="0043749D" w:rsidP="009A3F2B">
            <w:pPr>
              <w:jc w:val="center"/>
              <w:rPr>
                <w:sz w:val="18"/>
                <w:szCs w:val="18"/>
              </w:rPr>
            </w:pPr>
            <w:r w:rsidRPr="00631C1B">
              <w:rPr>
                <w:sz w:val="18"/>
                <w:szCs w:val="18"/>
              </w:rPr>
              <w:t>Total achieved</w:t>
            </w:r>
          </w:p>
        </w:tc>
        <w:tc>
          <w:tcPr>
            <w:tcW w:w="3192" w:type="dxa"/>
            <w:tcBorders>
              <w:left w:val="single" w:sz="4" w:space="0" w:color="000000" w:themeColor="text1"/>
            </w:tcBorders>
          </w:tcPr>
          <w:p w14:paraId="0D23CEEF" w14:textId="71F33DB6" w:rsidR="0043749D" w:rsidRPr="00631C1B" w:rsidRDefault="0043749D" w:rsidP="009A3F2B">
            <w:pPr>
              <w:jc w:val="center"/>
              <w:rPr>
                <w:sz w:val="18"/>
                <w:szCs w:val="18"/>
              </w:rPr>
            </w:pPr>
            <w:r w:rsidRPr="00631C1B">
              <w:rPr>
                <w:sz w:val="18"/>
                <w:szCs w:val="18"/>
              </w:rPr>
              <w:t xml:space="preserve">Proportion of </w:t>
            </w:r>
            <w:r w:rsidR="00167767" w:rsidRPr="00631C1B">
              <w:rPr>
                <w:sz w:val="18"/>
                <w:szCs w:val="18"/>
              </w:rPr>
              <w:t>Targete</w:t>
            </w:r>
            <w:r w:rsidR="00167767" w:rsidRPr="00631C1B">
              <w:rPr>
                <w:bCs/>
                <w:sz w:val="18"/>
                <w:szCs w:val="18"/>
              </w:rPr>
              <w:t>d</w:t>
            </w:r>
            <w:r w:rsidR="00167767" w:rsidRPr="00631C1B">
              <w:rPr>
                <w:sz w:val="18"/>
                <w:szCs w:val="18"/>
              </w:rPr>
              <w:t xml:space="preserve"> Fund </w:t>
            </w:r>
            <w:r w:rsidRPr="00631C1B">
              <w:rPr>
                <w:sz w:val="18"/>
                <w:szCs w:val="18"/>
              </w:rPr>
              <w:t>participants achieving this outcome</w:t>
            </w:r>
          </w:p>
        </w:tc>
      </w:tr>
      <w:tr w:rsidR="00FF0129" w:rsidRPr="00631C1B" w14:paraId="6B4C1302" w14:textId="77777777" w:rsidTr="00B92D1F">
        <w:trPr>
          <w:trHeight w:val="184"/>
        </w:trPr>
        <w:tc>
          <w:tcPr>
            <w:tcW w:w="6527" w:type="dxa"/>
            <w:tcBorders>
              <w:right w:val="single" w:sz="4" w:space="0" w:color="000000" w:themeColor="text1"/>
            </w:tcBorders>
          </w:tcPr>
          <w:p w14:paraId="0D486465" w14:textId="14C0C7C0" w:rsidR="00FF0129" w:rsidRPr="00631C1B" w:rsidRDefault="00FF0129" w:rsidP="00FF0129">
            <w:pPr>
              <w:rPr>
                <w:sz w:val="18"/>
                <w:szCs w:val="18"/>
              </w:rPr>
            </w:pPr>
            <w:r w:rsidRPr="00631C1B">
              <w:rPr>
                <w:sz w:val="18"/>
                <w:szCs w:val="18"/>
              </w:rPr>
              <w:t># in training as part of the programme</w:t>
            </w:r>
          </w:p>
        </w:tc>
        <w:tc>
          <w:tcPr>
            <w:tcW w:w="1918" w:type="dxa"/>
            <w:tcBorders>
              <w:left w:val="single" w:sz="4" w:space="0" w:color="000000" w:themeColor="text1"/>
              <w:right w:val="single" w:sz="4" w:space="0" w:color="000000" w:themeColor="text1"/>
            </w:tcBorders>
          </w:tcPr>
          <w:p w14:paraId="2D402ED0" w14:textId="42BEF1EF"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1250BD47" w14:textId="3F803336" w:rsidR="00FF0129" w:rsidRPr="00631C1B" w:rsidRDefault="00FF0129" w:rsidP="00FF0129">
            <w:pPr>
              <w:jc w:val="center"/>
              <w:rPr>
                <w:sz w:val="18"/>
                <w:szCs w:val="18"/>
              </w:rPr>
            </w:pPr>
            <w:r w:rsidRPr="00631C1B">
              <w:rPr>
                <w:sz w:val="18"/>
                <w:szCs w:val="18"/>
              </w:rPr>
              <w:t>714</w:t>
            </w:r>
          </w:p>
        </w:tc>
        <w:tc>
          <w:tcPr>
            <w:tcW w:w="3192" w:type="dxa"/>
            <w:tcBorders>
              <w:left w:val="single" w:sz="4" w:space="0" w:color="000000" w:themeColor="text1"/>
            </w:tcBorders>
          </w:tcPr>
          <w:p w14:paraId="3E7A0CDB" w14:textId="20DA67F3" w:rsidR="00FF0129" w:rsidRPr="00631C1B" w:rsidRDefault="00FF0129" w:rsidP="003D4FEB">
            <w:pPr>
              <w:jc w:val="center"/>
              <w:rPr>
                <w:sz w:val="18"/>
                <w:szCs w:val="18"/>
              </w:rPr>
            </w:pPr>
            <w:r w:rsidRPr="00631C1B">
              <w:rPr>
                <w:sz w:val="18"/>
                <w:szCs w:val="18"/>
              </w:rPr>
              <w:t>13.5%</w:t>
            </w:r>
          </w:p>
        </w:tc>
      </w:tr>
      <w:tr w:rsidR="00FF0129" w:rsidRPr="00631C1B" w14:paraId="05195381" w14:textId="77777777" w:rsidTr="00B92D1F">
        <w:trPr>
          <w:trHeight w:val="174"/>
        </w:trPr>
        <w:tc>
          <w:tcPr>
            <w:tcW w:w="6527" w:type="dxa"/>
            <w:tcBorders>
              <w:right w:val="single" w:sz="4" w:space="0" w:color="000000" w:themeColor="text1"/>
            </w:tcBorders>
          </w:tcPr>
          <w:p w14:paraId="627A8E1B" w14:textId="42BBCC78" w:rsidR="00FF0129" w:rsidRPr="00631C1B" w:rsidRDefault="00FF0129" w:rsidP="00FF0129">
            <w:pPr>
              <w:rPr>
                <w:sz w:val="18"/>
                <w:szCs w:val="18"/>
              </w:rPr>
            </w:pPr>
            <w:r w:rsidRPr="00631C1B">
              <w:rPr>
                <w:sz w:val="18"/>
                <w:szCs w:val="18"/>
              </w:rPr>
              <w:t># in learning as part of the programme</w:t>
            </w:r>
          </w:p>
        </w:tc>
        <w:tc>
          <w:tcPr>
            <w:tcW w:w="1918" w:type="dxa"/>
            <w:tcBorders>
              <w:left w:val="single" w:sz="4" w:space="0" w:color="000000" w:themeColor="text1"/>
              <w:right w:val="single" w:sz="4" w:space="0" w:color="000000" w:themeColor="text1"/>
            </w:tcBorders>
          </w:tcPr>
          <w:p w14:paraId="12AA9859" w14:textId="325422FC"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35A34F72" w14:textId="419887DE" w:rsidR="00FF0129" w:rsidRPr="00631C1B" w:rsidRDefault="00FF0129" w:rsidP="00FF0129">
            <w:pPr>
              <w:jc w:val="center"/>
              <w:rPr>
                <w:sz w:val="18"/>
                <w:szCs w:val="18"/>
              </w:rPr>
            </w:pPr>
            <w:r w:rsidRPr="00631C1B">
              <w:rPr>
                <w:sz w:val="18"/>
                <w:szCs w:val="18"/>
              </w:rPr>
              <w:t>1,722</w:t>
            </w:r>
          </w:p>
        </w:tc>
        <w:tc>
          <w:tcPr>
            <w:tcW w:w="3192" w:type="dxa"/>
            <w:tcBorders>
              <w:left w:val="single" w:sz="4" w:space="0" w:color="000000" w:themeColor="text1"/>
            </w:tcBorders>
          </w:tcPr>
          <w:p w14:paraId="552B9C55" w14:textId="75D2A632" w:rsidR="00FF0129" w:rsidRPr="00631C1B" w:rsidRDefault="00FF0129" w:rsidP="003D4FEB">
            <w:pPr>
              <w:jc w:val="center"/>
              <w:rPr>
                <w:sz w:val="18"/>
                <w:szCs w:val="18"/>
              </w:rPr>
            </w:pPr>
            <w:r w:rsidRPr="00631C1B">
              <w:rPr>
                <w:sz w:val="18"/>
                <w:szCs w:val="18"/>
              </w:rPr>
              <w:t>32.5%</w:t>
            </w:r>
          </w:p>
        </w:tc>
      </w:tr>
      <w:tr w:rsidR="00FF0129" w:rsidRPr="00631C1B" w14:paraId="01878271" w14:textId="77777777" w:rsidTr="00B92D1F">
        <w:trPr>
          <w:trHeight w:val="348"/>
        </w:trPr>
        <w:tc>
          <w:tcPr>
            <w:tcW w:w="6527" w:type="dxa"/>
            <w:tcBorders>
              <w:right w:val="single" w:sz="4" w:space="0" w:color="000000" w:themeColor="text1"/>
            </w:tcBorders>
          </w:tcPr>
          <w:p w14:paraId="3015FF50" w14:textId="399FE884" w:rsidR="00FF0129" w:rsidRPr="00631C1B" w:rsidRDefault="00FF0129" w:rsidP="00FF0129">
            <w:pPr>
              <w:rPr>
                <w:sz w:val="18"/>
                <w:szCs w:val="18"/>
              </w:rPr>
            </w:pPr>
            <w:r w:rsidRPr="00631C1B">
              <w:rPr>
                <w:sz w:val="18"/>
                <w:szCs w:val="18"/>
              </w:rPr>
              <w:t># in employment as part of the programme</w:t>
            </w:r>
          </w:p>
        </w:tc>
        <w:tc>
          <w:tcPr>
            <w:tcW w:w="1918" w:type="dxa"/>
            <w:tcBorders>
              <w:left w:val="single" w:sz="4" w:space="0" w:color="000000" w:themeColor="text1"/>
              <w:right w:val="single" w:sz="4" w:space="0" w:color="000000" w:themeColor="text1"/>
            </w:tcBorders>
          </w:tcPr>
          <w:p w14:paraId="56F06D16" w14:textId="60CEEA1F"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6095DAB4" w14:textId="13A1315C" w:rsidR="00FF0129" w:rsidRPr="00631C1B" w:rsidRDefault="00FF0129" w:rsidP="00FF0129">
            <w:pPr>
              <w:jc w:val="center"/>
              <w:rPr>
                <w:sz w:val="18"/>
                <w:szCs w:val="18"/>
              </w:rPr>
            </w:pPr>
            <w:r w:rsidRPr="00631C1B">
              <w:rPr>
                <w:sz w:val="18"/>
                <w:szCs w:val="18"/>
              </w:rPr>
              <w:t>0</w:t>
            </w:r>
          </w:p>
        </w:tc>
        <w:tc>
          <w:tcPr>
            <w:tcW w:w="3192" w:type="dxa"/>
            <w:tcBorders>
              <w:left w:val="single" w:sz="4" w:space="0" w:color="000000" w:themeColor="text1"/>
            </w:tcBorders>
          </w:tcPr>
          <w:p w14:paraId="6FF412F0" w14:textId="2D3ED2F6" w:rsidR="00FF0129" w:rsidRPr="00631C1B" w:rsidRDefault="00FF0129" w:rsidP="003D4FEB">
            <w:pPr>
              <w:jc w:val="center"/>
              <w:rPr>
                <w:sz w:val="18"/>
                <w:szCs w:val="18"/>
              </w:rPr>
            </w:pPr>
            <w:r w:rsidRPr="00631C1B">
              <w:rPr>
                <w:sz w:val="18"/>
                <w:szCs w:val="18"/>
              </w:rPr>
              <w:t>0.0%</w:t>
            </w:r>
          </w:p>
        </w:tc>
      </w:tr>
      <w:tr w:rsidR="00FF0129" w:rsidRPr="00631C1B" w14:paraId="31A039B5" w14:textId="77777777" w:rsidTr="00B92D1F">
        <w:trPr>
          <w:trHeight w:val="358"/>
        </w:trPr>
        <w:tc>
          <w:tcPr>
            <w:tcW w:w="6527" w:type="dxa"/>
            <w:tcBorders>
              <w:right w:val="single" w:sz="4" w:space="0" w:color="000000" w:themeColor="text1"/>
            </w:tcBorders>
          </w:tcPr>
          <w:p w14:paraId="005DC49B" w14:textId="46A7F063" w:rsidR="00FF0129" w:rsidRPr="00631C1B" w:rsidRDefault="00FF0129" w:rsidP="00FF0129">
            <w:pPr>
              <w:rPr>
                <w:sz w:val="18"/>
                <w:szCs w:val="18"/>
              </w:rPr>
            </w:pPr>
            <w:r w:rsidRPr="00631C1B">
              <w:rPr>
                <w:sz w:val="18"/>
                <w:szCs w:val="18"/>
              </w:rPr>
              <w:t># in volunteering as part of the programme</w:t>
            </w:r>
          </w:p>
        </w:tc>
        <w:tc>
          <w:tcPr>
            <w:tcW w:w="1918" w:type="dxa"/>
            <w:tcBorders>
              <w:left w:val="single" w:sz="4" w:space="0" w:color="000000" w:themeColor="text1"/>
              <w:right w:val="single" w:sz="4" w:space="0" w:color="000000" w:themeColor="text1"/>
            </w:tcBorders>
          </w:tcPr>
          <w:p w14:paraId="284C0C5B" w14:textId="7CF89986"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0882D2AF" w14:textId="29EF4481" w:rsidR="00FF0129" w:rsidRPr="00631C1B" w:rsidRDefault="00FF0129" w:rsidP="00FF0129">
            <w:pPr>
              <w:jc w:val="center"/>
              <w:rPr>
                <w:sz w:val="18"/>
                <w:szCs w:val="18"/>
              </w:rPr>
            </w:pPr>
            <w:r w:rsidRPr="00631C1B">
              <w:rPr>
                <w:sz w:val="18"/>
                <w:szCs w:val="18"/>
              </w:rPr>
              <w:t>0</w:t>
            </w:r>
          </w:p>
        </w:tc>
        <w:tc>
          <w:tcPr>
            <w:tcW w:w="3192" w:type="dxa"/>
            <w:tcBorders>
              <w:left w:val="single" w:sz="4" w:space="0" w:color="000000" w:themeColor="text1"/>
            </w:tcBorders>
          </w:tcPr>
          <w:p w14:paraId="1DD93A59" w14:textId="5E2FF883" w:rsidR="00FF0129" w:rsidRPr="00631C1B" w:rsidRDefault="00FF0129" w:rsidP="003D4FEB">
            <w:pPr>
              <w:jc w:val="center"/>
              <w:rPr>
                <w:sz w:val="18"/>
                <w:szCs w:val="18"/>
              </w:rPr>
            </w:pPr>
            <w:r w:rsidRPr="00631C1B">
              <w:rPr>
                <w:sz w:val="18"/>
                <w:szCs w:val="18"/>
              </w:rPr>
              <w:t>0.0%</w:t>
            </w:r>
          </w:p>
        </w:tc>
      </w:tr>
      <w:tr w:rsidR="00FF0129" w:rsidRPr="00631C1B" w14:paraId="2334D44E" w14:textId="77777777" w:rsidTr="00B92D1F">
        <w:trPr>
          <w:trHeight w:val="348"/>
        </w:trPr>
        <w:tc>
          <w:tcPr>
            <w:tcW w:w="6527" w:type="dxa"/>
            <w:tcBorders>
              <w:right w:val="single" w:sz="4" w:space="0" w:color="000000" w:themeColor="text1"/>
            </w:tcBorders>
          </w:tcPr>
          <w:p w14:paraId="223B055F" w14:textId="77777777" w:rsidR="00FF0129" w:rsidRPr="00631C1B" w:rsidRDefault="00FF0129" w:rsidP="00FF0129">
            <w:pPr>
              <w:rPr>
                <w:sz w:val="18"/>
                <w:szCs w:val="18"/>
              </w:rPr>
            </w:pPr>
            <w:r w:rsidRPr="00631C1B">
              <w:rPr>
                <w:sz w:val="18"/>
                <w:szCs w:val="18"/>
              </w:rPr>
              <w:t># progressing into a further informal learning opportunity in your organisation</w:t>
            </w:r>
          </w:p>
        </w:tc>
        <w:tc>
          <w:tcPr>
            <w:tcW w:w="1918" w:type="dxa"/>
            <w:tcBorders>
              <w:left w:val="single" w:sz="4" w:space="0" w:color="000000" w:themeColor="text1"/>
              <w:right w:val="single" w:sz="4" w:space="0" w:color="000000" w:themeColor="text1"/>
            </w:tcBorders>
          </w:tcPr>
          <w:p w14:paraId="4D49C555" w14:textId="00E9CA0E"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22243415" w14:textId="3CEA5691" w:rsidR="00FF0129" w:rsidRPr="00631C1B" w:rsidRDefault="00FF0129" w:rsidP="00FF0129">
            <w:pPr>
              <w:jc w:val="center"/>
              <w:rPr>
                <w:sz w:val="18"/>
                <w:szCs w:val="18"/>
              </w:rPr>
            </w:pPr>
            <w:r w:rsidRPr="00631C1B">
              <w:rPr>
                <w:sz w:val="18"/>
                <w:szCs w:val="18"/>
              </w:rPr>
              <w:t>420</w:t>
            </w:r>
          </w:p>
        </w:tc>
        <w:tc>
          <w:tcPr>
            <w:tcW w:w="3192" w:type="dxa"/>
            <w:tcBorders>
              <w:left w:val="single" w:sz="4" w:space="0" w:color="000000" w:themeColor="text1"/>
            </w:tcBorders>
          </w:tcPr>
          <w:p w14:paraId="61EEDA2D" w14:textId="715DAEED" w:rsidR="00FF0129" w:rsidRPr="00631C1B" w:rsidRDefault="00FF0129" w:rsidP="003D4FEB">
            <w:pPr>
              <w:jc w:val="center"/>
              <w:rPr>
                <w:sz w:val="18"/>
                <w:szCs w:val="18"/>
              </w:rPr>
            </w:pPr>
            <w:r w:rsidRPr="00631C1B">
              <w:rPr>
                <w:sz w:val="18"/>
                <w:szCs w:val="18"/>
              </w:rPr>
              <w:t>7.9%</w:t>
            </w:r>
          </w:p>
        </w:tc>
      </w:tr>
      <w:tr w:rsidR="00FF0129" w:rsidRPr="00631C1B" w14:paraId="0443ABD1" w14:textId="77777777" w:rsidTr="00B92D1F">
        <w:trPr>
          <w:trHeight w:val="533"/>
        </w:trPr>
        <w:tc>
          <w:tcPr>
            <w:tcW w:w="6527" w:type="dxa"/>
            <w:tcBorders>
              <w:right w:val="single" w:sz="4" w:space="0" w:color="000000" w:themeColor="text1"/>
            </w:tcBorders>
          </w:tcPr>
          <w:p w14:paraId="3CC173A7" w14:textId="77777777" w:rsidR="00FF0129" w:rsidRPr="00631C1B" w:rsidRDefault="00FF0129" w:rsidP="00FF0129">
            <w:pPr>
              <w:rPr>
                <w:sz w:val="18"/>
                <w:szCs w:val="18"/>
              </w:rPr>
            </w:pPr>
            <w:r w:rsidRPr="00631C1B">
              <w:rPr>
                <w:sz w:val="18"/>
                <w:szCs w:val="18"/>
              </w:rPr>
              <w:t># progressing into a further informal learning opportunity in another organisation</w:t>
            </w:r>
          </w:p>
        </w:tc>
        <w:tc>
          <w:tcPr>
            <w:tcW w:w="1918" w:type="dxa"/>
            <w:tcBorders>
              <w:left w:val="single" w:sz="4" w:space="0" w:color="000000" w:themeColor="text1"/>
              <w:right w:val="single" w:sz="4" w:space="0" w:color="000000" w:themeColor="text1"/>
            </w:tcBorders>
          </w:tcPr>
          <w:p w14:paraId="647E93CD" w14:textId="23F9395A"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66F8F9E9" w14:textId="595977E7" w:rsidR="00FF0129" w:rsidRPr="00631C1B" w:rsidRDefault="00FF0129" w:rsidP="00FF0129">
            <w:pPr>
              <w:jc w:val="center"/>
              <w:rPr>
                <w:sz w:val="18"/>
                <w:szCs w:val="18"/>
              </w:rPr>
            </w:pPr>
            <w:r w:rsidRPr="00631C1B">
              <w:rPr>
                <w:sz w:val="18"/>
                <w:szCs w:val="18"/>
              </w:rPr>
              <w:t>425</w:t>
            </w:r>
          </w:p>
        </w:tc>
        <w:tc>
          <w:tcPr>
            <w:tcW w:w="3192" w:type="dxa"/>
            <w:tcBorders>
              <w:left w:val="single" w:sz="4" w:space="0" w:color="000000" w:themeColor="text1"/>
            </w:tcBorders>
          </w:tcPr>
          <w:p w14:paraId="789842B2" w14:textId="320CA52C" w:rsidR="00FF0129" w:rsidRPr="00631C1B" w:rsidRDefault="00FF0129" w:rsidP="003D4FEB">
            <w:pPr>
              <w:jc w:val="center"/>
              <w:rPr>
                <w:sz w:val="18"/>
                <w:szCs w:val="18"/>
              </w:rPr>
            </w:pPr>
            <w:r w:rsidRPr="00631C1B">
              <w:rPr>
                <w:sz w:val="18"/>
                <w:szCs w:val="18"/>
              </w:rPr>
              <w:t>8.0%</w:t>
            </w:r>
          </w:p>
        </w:tc>
      </w:tr>
      <w:tr w:rsidR="00FF0129" w:rsidRPr="00631C1B" w14:paraId="786A8FDE" w14:textId="77777777" w:rsidTr="00B92D1F">
        <w:trPr>
          <w:trHeight w:val="174"/>
        </w:trPr>
        <w:tc>
          <w:tcPr>
            <w:tcW w:w="6527" w:type="dxa"/>
            <w:tcBorders>
              <w:right w:val="single" w:sz="4" w:space="0" w:color="000000" w:themeColor="text1"/>
            </w:tcBorders>
          </w:tcPr>
          <w:p w14:paraId="33231BDC" w14:textId="77777777" w:rsidR="00FF0129" w:rsidRPr="00631C1B" w:rsidRDefault="00FF0129" w:rsidP="00FF0129">
            <w:pPr>
              <w:rPr>
                <w:sz w:val="18"/>
                <w:szCs w:val="18"/>
              </w:rPr>
            </w:pPr>
            <w:r w:rsidRPr="00631C1B">
              <w:rPr>
                <w:sz w:val="18"/>
                <w:szCs w:val="18"/>
              </w:rPr>
              <w:t># remaining at or returning to school</w:t>
            </w:r>
          </w:p>
        </w:tc>
        <w:tc>
          <w:tcPr>
            <w:tcW w:w="1918" w:type="dxa"/>
            <w:tcBorders>
              <w:left w:val="single" w:sz="4" w:space="0" w:color="000000" w:themeColor="text1"/>
              <w:right w:val="single" w:sz="4" w:space="0" w:color="000000" w:themeColor="text1"/>
            </w:tcBorders>
          </w:tcPr>
          <w:p w14:paraId="64F0A3D5" w14:textId="2B1A095D"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7ECA0535" w14:textId="1988AF1C" w:rsidR="00FF0129" w:rsidRPr="00631C1B" w:rsidRDefault="00FF0129" w:rsidP="00FF0129">
            <w:pPr>
              <w:jc w:val="center"/>
              <w:rPr>
                <w:sz w:val="18"/>
                <w:szCs w:val="18"/>
              </w:rPr>
            </w:pPr>
            <w:r w:rsidRPr="00631C1B">
              <w:rPr>
                <w:sz w:val="18"/>
                <w:szCs w:val="18"/>
              </w:rPr>
              <w:t>653</w:t>
            </w:r>
          </w:p>
        </w:tc>
        <w:tc>
          <w:tcPr>
            <w:tcW w:w="3192" w:type="dxa"/>
            <w:tcBorders>
              <w:left w:val="single" w:sz="4" w:space="0" w:color="000000" w:themeColor="text1"/>
            </w:tcBorders>
          </w:tcPr>
          <w:p w14:paraId="2736B280" w14:textId="2A295231" w:rsidR="00FF0129" w:rsidRPr="00631C1B" w:rsidRDefault="00FF0129" w:rsidP="003D4FEB">
            <w:pPr>
              <w:jc w:val="center"/>
              <w:rPr>
                <w:sz w:val="18"/>
                <w:szCs w:val="18"/>
              </w:rPr>
            </w:pPr>
            <w:r w:rsidRPr="00631C1B">
              <w:rPr>
                <w:sz w:val="18"/>
                <w:szCs w:val="18"/>
              </w:rPr>
              <w:t>12.3%</w:t>
            </w:r>
          </w:p>
        </w:tc>
      </w:tr>
      <w:tr w:rsidR="00FF0129" w:rsidRPr="00631C1B" w14:paraId="70155AFD" w14:textId="77777777" w:rsidTr="00B92D1F">
        <w:trPr>
          <w:trHeight w:val="358"/>
        </w:trPr>
        <w:tc>
          <w:tcPr>
            <w:tcW w:w="6527" w:type="dxa"/>
            <w:tcBorders>
              <w:right w:val="single" w:sz="4" w:space="0" w:color="000000" w:themeColor="text1"/>
            </w:tcBorders>
          </w:tcPr>
          <w:p w14:paraId="2B1E40C5" w14:textId="77777777" w:rsidR="00FF0129" w:rsidRPr="00631C1B" w:rsidRDefault="00FF0129" w:rsidP="00FF0129">
            <w:pPr>
              <w:rPr>
                <w:sz w:val="18"/>
                <w:szCs w:val="18"/>
              </w:rPr>
            </w:pPr>
            <w:r w:rsidRPr="00631C1B">
              <w:rPr>
                <w:sz w:val="18"/>
                <w:szCs w:val="18"/>
              </w:rPr>
              <w:t># taking a course of further or higher education</w:t>
            </w:r>
          </w:p>
        </w:tc>
        <w:tc>
          <w:tcPr>
            <w:tcW w:w="1918" w:type="dxa"/>
            <w:tcBorders>
              <w:left w:val="single" w:sz="4" w:space="0" w:color="000000" w:themeColor="text1"/>
              <w:right w:val="single" w:sz="4" w:space="0" w:color="000000" w:themeColor="text1"/>
            </w:tcBorders>
          </w:tcPr>
          <w:p w14:paraId="42A788A1" w14:textId="20E607B2"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303151C5" w14:textId="6A39B5B4" w:rsidR="00FF0129" w:rsidRPr="00631C1B" w:rsidRDefault="00FF0129" w:rsidP="00FF0129">
            <w:pPr>
              <w:jc w:val="center"/>
              <w:rPr>
                <w:sz w:val="18"/>
                <w:szCs w:val="18"/>
              </w:rPr>
            </w:pPr>
            <w:r w:rsidRPr="00631C1B">
              <w:rPr>
                <w:sz w:val="18"/>
                <w:szCs w:val="18"/>
              </w:rPr>
              <w:t>192</w:t>
            </w:r>
          </w:p>
        </w:tc>
        <w:tc>
          <w:tcPr>
            <w:tcW w:w="3192" w:type="dxa"/>
            <w:tcBorders>
              <w:left w:val="single" w:sz="4" w:space="0" w:color="000000" w:themeColor="text1"/>
            </w:tcBorders>
          </w:tcPr>
          <w:p w14:paraId="6F1ABEC4" w14:textId="0E42E70A" w:rsidR="00FF0129" w:rsidRPr="00631C1B" w:rsidRDefault="00FF0129" w:rsidP="003D4FEB">
            <w:pPr>
              <w:jc w:val="center"/>
              <w:rPr>
                <w:sz w:val="18"/>
                <w:szCs w:val="18"/>
              </w:rPr>
            </w:pPr>
            <w:r w:rsidRPr="00631C1B">
              <w:rPr>
                <w:sz w:val="18"/>
                <w:szCs w:val="18"/>
              </w:rPr>
              <w:t>3.6%</w:t>
            </w:r>
          </w:p>
        </w:tc>
      </w:tr>
      <w:tr w:rsidR="00FF0129" w:rsidRPr="00631C1B" w14:paraId="4E627C41" w14:textId="77777777" w:rsidTr="00B92D1F">
        <w:trPr>
          <w:trHeight w:val="348"/>
        </w:trPr>
        <w:tc>
          <w:tcPr>
            <w:tcW w:w="6527" w:type="dxa"/>
            <w:tcBorders>
              <w:right w:val="single" w:sz="4" w:space="0" w:color="000000" w:themeColor="text1"/>
            </w:tcBorders>
          </w:tcPr>
          <w:p w14:paraId="7E508A6D" w14:textId="77777777" w:rsidR="00FF0129" w:rsidRPr="00631C1B" w:rsidRDefault="00FF0129" w:rsidP="00FF0129">
            <w:pPr>
              <w:rPr>
                <w:sz w:val="18"/>
                <w:szCs w:val="18"/>
              </w:rPr>
            </w:pPr>
            <w:r w:rsidRPr="00631C1B">
              <w:rPr>
                <w:sz w:val="18"/>
                <w:szCs w:val="18"/>
              </w:rPr>
              <w:t># undertaking a Skills Development Scotland-funded training programme</w:t>
            </w:r>
          </w:p>
        </w:tc>
        <w:tc>
          <w:tcPr>
            <w:tcW w:w="1918" w:type="dxa"/>
            <w:tcBorders>
              <w:left w:val="single" w:sz="4" w:space="0" w:color="000000" w:themeColor="text1"/>
              <w:right w:val="single" w:sz="4" w:space="0" w:color="000000" w:themeColor="text1"/>
            </w:tcBorders>
          </w:tcPr>
          <w:p w14:paraId="72DB74CD" w14:textId="33C1FDC3"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681CCA64" w14:textId="683C4C25" w:rsidR="00FF0129" w:rsidRPr="00631C1B" w:rsidRDefault="00FF0129" w:rsidP="00FF0129">
            <w:pPr>
              <w:jc w:val="center"/>
              <w:rPr>
                <w:sz w:val="18"/>
                <w:szCs w:val="18"/>
              </w:rPr>
            </w:pPr>
            <w:r w:rsidRPr="00631C1B">
              <w:rPr>
                <w:sz w:val="18"/>
                <w:szCs w:val="18"/>
              </w:rPr>
              <w:t>8</w:t>
            </w:r>
          </w:p>
        </w:tc>
        <w:tc>
          <w:tcPr>
            <w:tcW w:w="3192" w:type="dxa"/>
            <w:tcBorders>
              <w:left w:val="single" w:sz="4" w:space="0" w:color="000000" w:themeColor="text1"/>
            </w:tcBorders>
          </w:tcPr>
          <w:p w14:paraId="338D4A27" w14:textId="37A617D1" w:rsidR="00FF0129" w:rsidRPr="00631C1B" w:rsidRDefault="00FF0129" w:rsidP="003D4FEB">
            <w:pPr>
              <w:jc w:val="center"/>
              <w:rPr>
                <w:sz w:val="18"/>
                <w:szCs w:val="18"/>
              </w:rPr>
            </w:pPr>
            <w:r w:rsidRPr="00631C1B">
              <w:rPr>
                <w:sz w:val="18"/>
                <w:szCs w:val="18"/>
              </w:rPr>
              <w:t>0.2%</w:t>
            </w:r>
          </w:p>
        </w:tc>
      </w:tr>
      <w:tr w:rsidR="00FF0129" w:rsidRPr="00631C1B" w14:paraId="480B9984" w14:textId="77777777" w:rsidTr="00B92D1F">
        <w:trPr>
          <w:trHeight w:val="184"/>
        </w:trPr>
        <w:tc>
          <w:tcPr>
            <w:tcW w:w="6527" w:type="dxa"/>
            <w:tcBorders>
              <w:right w:val="single" w:sz="4" w:space="0" w:color="000000" w:themeColor="text1"/>
            </w:tcBorders>
          </w:tcPr>
          <w:p w14:paraId="3345AB65" w14:textId="77777777" w:rsidR="00FF0129" w:rsidRPr="00631C1B" w:rsidRDefault="00FF0129" w:rsidP="00FF0129">
            <w:pPr>
              <w:rPr>
                <w:sz w:val="18"/>
                <w:szCs w:val="18"/>
              </w:rPr>
            </w:pPr>
            <w:r w:rsidRPr="00631C1B">
              <w:rPr>
                <w:sz w:val="18"/>
                <w:szCs w:val="18"/>
              </w:rPr>
              <w:t xml:space="preserve"># engaging in an Activity Agreement </w:t>
            </w:r>
          </w:p>
        </w:tc>
        <w:tc>
          <w:tcPr>
            <w:tcW w:w="1918" w:type="dxa"/>
            <w:tcBorders>
              <w:left w:val="single" w:sz="4" w:space="0" w:color="000000" w:themeColor="text1"/>
              <w:right w:val="single" w:sz="4" w:space="0" w:color="000000" w:themeColor="text1"/>
            </w:tcBorders>
          </w:tcPr>
          <w:p w14:paraId="12CD1D1B" w14:textId="3430E59D"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61E25F5C" w14:textId="3F6548B8" w:rsidR="00FF0129" w:rsidRPr="00631C1B" w:rsidRDefault="00FF0129" w:rsidP="00FF0129">
            <w:pPr>
              <w:jc w:val="center"/>
              <w:rPr>
                <w:sz w:val="18"/>
                <w:szCs w:val="18"/>
              </w:rPr>
            </w:pPr>
            <w:r w:rsidRPr="00631C1B">
              <w:rPr>
                <w:sz w:val="18"/>
                <w:szCs w:val="18"/>
              </w:rPr>
              <w:t>24</w:t>
            </w:r>
          </w:p>
        </w:tc>
        <w:tc>
          <w:tcPr>
            <w:tcW w:w="3192" w:type="dxa"/>
            <w:tcBorders>
              <w:left w:val="single" w:sz="4" w:space="0" w:color="000000" w:themeColor="text1"/>
            </w:tcBorders>
          </w:tcPr>
          <w:p w14:paraId="4471425C" w14:textId="79EC74B4" w:rsidR="00FF0129" w:rsidRPr="00631C1B" w:rsidRDefault="00FF0129" w:rsidP="003D4FEB">
            <w:pPr>
              <w:jc w:val="center"/>
              <w:rPr>
                <w:sz w:val="18"/>
                <w:szCs w:val="18"/>
              </w:rPr>
            </w:pPr>
            <w:r w:rsidRPr="00631C1B">
              <w:rPr>
                <w:sz w:val="18"/>
                <w:szCs w:val="18"/>
              </w:rPr>
              <w:t>0.5%</w:t>
            </w:r>
          </w:p>
        </w:tc>
      </w:tr>
      <w:tr w:rsidR="00FF0129" w:rsidRPr="00631C1B" w14:paraId="5C368F45" w14:textId="77777777" w:rsidTr="00B92D1F">
        <w:trPr>
          <w:trHeight w:val="707"/>
        </w:trPr>
        <w:tc>
          <w:tcPr>
            <w:tcW w:w="6527" w:type="dxa"/>
            <w:tcBorders>
              <w:right w:val="single" w:sz="4" w:space="0" w:color="000000" w:themeColor="text1"/>
            </w:tcBorders>
          </w:tcPr>
          <w:p w14:paraId="000D2B7B" w14:textId="77777777" w:rsidR="00FF0129" w:rsidRPr="00631C1B" w:rsidRDefault="00FF0129" w:rsidP="00FF0129">
            <w:pPr>
              <w:rPr>
                <w:sz w:val="18"/>
                <w:szCs w:val="18"/>
              </w:rPr>
            </w:pPr>
            <w:r w:rsidRPr="00631C1B">
              <w:rPr>
                <w:sz w:val="18"/>
                <w:szCs w:val="18"/>
              </w:rPr>
              <w:t># participating in learning or training offered by Third Sector providers / Social Enterprises / Community Learning and Development</w:t>
            </w:r>
          </w:p>
        </w:tc>
        <w:tc>
          <w:tcPr>
            <w:tcW w:w="1918" w:type="dxa"/>
            <w:tcBorders>
              <w:left w:val="single" w:sz="4" w:space="0" w:color="000000" w:themeColor="text1"/>
              <w:right w:val="single" w:sz="4" w:space="0" w:color="000000" w:themeColor="text1"/>
            </w:tcBorders>
          </w:tcPr>
          <w:p w14:paraId="1449CEF3" w14:textId="52E589F8"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6E94FBC5" w14:textId="3DB9CD2D" w:rsidR="00FF0129" w:rsidRPr="00631C1B" w:rsidRDefault="00FF0129" w:rsidP="00FF0129">
            <w:pPr>
              <w:jc w:val="center"/>
              <w:rPr>
                <w:sz w:val="18"/>
                <w:szCs w:val="18"/>
              </w:rPr>
            </w:pPr>
            <w:r w:rsidRPr="00631C1B">
              <w:rPr>
                <w:sz w:val="18"/>
                <w:szCs w:val="18"/>
              </w:rPr>
              <w:t>56</w:t>
            </w:r>
          </w:p>
        </w:tc>
        <w:tc>
          <w:tcPr>
            <w:tcW w:w="3192" w:type="dxa"/>
            <w:tcBorders>
              <w:left w:val="single" w:sz="4" w:space="0" w:color="000000" w:themeColor="text1"/>
            </w:tcBorders>
          </w:tcPr>
          <w:p w14:paraId="648BA49A" w14:textId="7F461E0A" w:rsidR="00FF0129" w:rsidRPr="00631C1B" w:rsidRDefault="00FF0129" w:rsidP="003D4FEB">
            <w:pPr>
              <w:jc w:val="center"/>
              <w:rPr>
                <w:sz w:val="18"/>
                <w:szCs w:val="18"/>
              </w:rPr>
            </w:pPr>
            <w:r w:rsidRPr="00631C1B">
              <w:rPr>
                <w:sz w:val="18"/>
                <w:szCs w:val="18"/>
              </w:rPr>
              <w:t>1.1%</w:t>
            </w:r>
          </w:p>
        </w:tc>
      </w:tr>
      <w:tr w:rsidR="00FF0129" w:rsidRPr="00631C1B" w14:paraId="6AA6C352" w14:textId="77777777" w:rsidTr="00B92D1F">
        <w:trPr>
          <w:trHeight w:val="523"/>
        </w:trPr>
        <w:tc>
          <w:tcPr>
            <w:tcW w:w="6527" w:type="dxa"/>
            <w:tcBorders>
              <w:right w:val="single" w:sz="4" w:space="0" w:color="000000" w:themeColor="text1"/>
            </w:tcBorders>
          </w:tcPr>
          <w:p w14:paraId="3423366A" w14:textId="77777777" w:rsidR="00FF0129" w:rsidRPr="00631C1B" w:rsidRDefault="00FF0129" w:rsidP="00FF0129">
            <w:pPr>
              <w:rPr>
                <w:sz w:val="18"/>
                <w:szCs w:val="18"/>
              </w:rPr>
            </w:pPr>
            <w:r w:rsidRPr="00631C1B">
              <w:rPr>
                <w:sz w:val="18"/>
                <w:szCs w:val="18"/>
              </w:rPr>
              <w:t># volunteering work experience, where it is part of a recognised course or programme</w:t>
            </w:r>
          </w:p>
        </w:tc>
        <w:tc>
          <w:tcPr>
            <w:tcW w:w="1918" w:type="dxa"/>
            <w:tcBorders>
              <w:left w:val="single" w:sz="4" w:space="0" w:color="000000" w:themeColor="text1"/>
              <w:right w:val="single" w:sz="4" w:space="0" w:color="000000" w:themeColor="text1"/>
            </w:tcBorders>
          </w:tcPr>
          <w:p w14:paraId="45EB4D02" w14:textId="4AEACDB1"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6EF63105" w14:textId="7189DE42" w:rsidR="00FF0129" w:rsidRPr="00631C1B" w:rsidRDefault="00FF0129" w:rsidP="00FF0129">
            <w:pPr>
              <w:jc w:val="center"/>
              <w:rPr>
                <w:sz w:val="18"/>
                <w:szCs w:val="18"/>
              </w:rPr>
            </w:pPr>
            <w:r w:rsidRPr="00631C1B">
              <w:rPr>
                <w:sz w:val="18"/>
                <w:szCs w:val="18"/>
              </w:rPr>
              <w:t>30</w:t>
            </w:r>
          </w:p>
        </w:tc>
        <w:tc>
          <w:tcPr>
            <w:tcW w:w="3192" w:type="dxa"/>
            <w:tcBorders>
              <w:left w:val="single" w:sz="4" w:space="0" w:color="000000" w:themeColor="text1"/>
            </w:tcBorders>
          </w:tcPr>
          <w:p w14:paraId="75C39136" w14:textId="3FFB6131" w:rsidR="00FF0129" w:rsidRPr="00631C1B" w:rsidRDefault="00FF0129" w:rsidP="003D4FEB">
            <w:pPr>
              <w:jc w:val="center"/>
              <w:rPr>
                <w:sz w:val="18"/>
                <w:szCs w:val="18"/>
              </w:rPr>
            </w:pPr>
            <w:r w:rsidRPr="00631C1B">
              <w:rPr>
                <w:sz w:val="18"/>
                <w:szCs w:val="18"/>
              </w:rPr>
              <w:t>0.6%</w:t>
            </w:r>
          </w:p>
        </w:tc>
      </w:tr>
      <w:tr w:rsidR="00FF0129" w:rsidRPr="00631C1B" w14:paraId="09AA00AA" w14:textId="77777777" w:rsidTr="00B92D1F">
        <w:trPr>
          <w:trHeight w:val="358"/>
        </w:trPr>
        <w:tc>
          <w:tcPr>
            <w:tcW w:w="6527" w:type="dxa"/>
            <w:tcBorders>
              <w:right w:val="single" w:sz="4" w:space="0" w:color="000000" w:themeColor="text1"/>
            </w:tcBorders>
          </w:tcPr>
          <w:p w14:paraId="1AA000A0" w14:textId="77777777" w:rsidR="00FF0129" w:rsidRPr="00631C1B" w:rsidRDefault="00FF0129" w:rsidP="00FF0129">
            <w:pPr>
              <w:rPr>
                <w:sz w:val="18"/>
                <w:szCs w:val="18"/>
              </w:rPr>
            </w:pPr>
            <w:r w:rsidRPr="00631C1B">
              <w:rPr>
                <w:sz w:val="18"/>
                <w:szCs w:val="18"/>
              </w:rPr>
              <w:t># engaged with Community Jobs Scotland</w:t>
            </w:r>
          </w:p>
        </w:tc>
        <w:tc>
          <w:tcPr>
            <w:tcW w:w="1918" w:type="dxa"/>
            <w:tcBorders>
              <w:left w:val="single" w:sz="4" w:space="0" w:color="000000" w:themeColor="text1"/>
              <w:right w:val="single" w:sz="4" w:space="0" w:color="000000" w:themeColor="text1"/>
            </w:tcBorders>
          </w:tcPr>
          <w:p w14:paraId="0744B9D1" w14:textId="2CE1D253"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72994989" w14:textId="537EA94B" w:rsidR="00FF0129" w:rsidRPr="00631C1B" w:rsidRDefault="00FF0129" w:rsidP="00FF0129">
            <w:pPr>
              <w:jc w:val="center"/>
              <w:rPr>
                <w:sz w:val="18"/>
                <w:szCs w:val="18"/>
              </w:rPr>
            </w:pPr>
            <w:r w:rsidRPr="00631C1B">
              <w:rPr>
                <w:sz w:val="18"/>
                <w:szCs w:val="18"/>
              </w:rPr>
              <w:t>1</w:t>
            </w:r>
          </w:p>
        </w:tc>
        <w:tc>
          <w:tcPr>
            <w:tcW w:w="3192" w:type="dxa"/>
            <w:tcBorders>
              <w:left w:val="single" w:sz="4" w:space="0" w:color="000000" w:themeColor="text1"/>
            </w:tcBorders>
          </w:tcPr>
          <w:p w14:paraId="7DA6F8F6" w14:textId="29CC5C82" w:rsidR="00FF0129" w:rsidRPr="00631C1B" w:rsidRDefault="00FF0129" w:rsidP="003D4FEB">
            <w:pPr>
              <w:jc w:val="center"/>
              <w:rPr>
                <w:sz w:val="18"/>
                <w:szCs w:val="18"/>
              </w:rPr>
            </w:pPr>
            <w:r w:rsidRPr="00631C1B">
              <w:rPr>
                <w:sz w:val="18"/>
                <w:szCs w:val="18"/>
              </w:rPr>
              <w:t>0.0%</w:t>
            </w:r>
          </w:p>
        </w:tc>
      </w:tr>
      <w:tr w:rsidR="00FF0129" w:rsidRPr="00631C1B" w14:paraId="7D070AB0" w14:textId="77777777" w:rsidTr="00B92D1F">
        <w:trPr>
          <w:trHeight w:val="348"/>
        </w:trPr>
        <w:tc>
          <w:tcPr>
            <w:tcW w:w="6527" w:type="dxa"/>
            <w:tcBorders>
              <w:right w:val="single" w:sz="4" w:space="0" w:color="000000" w:themeColor="text1"/>
            </w:tcBorders>
          </w:tcPr>
          <w:p w14:paraId="59E820A5" w14:textId="77777777" w:rsidR="00FF0129" w:rsidRPr="00631C1B" w:rsidRDefault="00FF0129" w:rsidP="00FF0129">
            <w:pPr>
              <w:rPr>
                <w:sz w:val="18"/>
                <w:szCs w:val="18"/>
              </w:rPr>
            </w:pPr>
            <w:r w:rsidRPr="00631C1B">
              <w:rPr>
                <w:sz w:val="18"/>
                <w:szCs w:val="18"/>
              </w:rPr>
              <w:t># being employed / a Modern Apprenticeship</w:t>
            </w:r>
          </w:p>
        </w:tc>
        <w:tc>
          <w:tcPr>
            <w:tcW w:w="1918" w:type="dxa"/>
            <w:tcBorders>
              <w:left w:val="single" w:sz="4" w:space="0" w:color="000000" w:themeColor="text1"/>
              <w:right w:val="single" w:sz="4" w:space="0" w:color="000000" w:themeColor="text1"/>
            </w:tcBorders>
          </w:tcPr>
          <w:p w14:paraId="39393E32" w14:textId="6E4E7784" w:rsidR="00FF0129" w:rsidRPr="00631C1B" w:rsidRDefault="00FF0129" w:rsidP="00FF0129">
            <w:pPr>
              <w:jc w:val="center"/>
              <w:rPr>
                <w:sz w:val="18"/>
                <w:szCs w:val="18"/>
              </w:rPr>
            </w:pPr>
            <w:r w:rsidRPr="00631C1B">
              <w:rPr>
                <w:sz w:val="18"/>
                <w:szCs w:val="18"/>
              </w:rPr>
              <w:t>-</w:t>
            </w:r>
          </w:p>
        </w:tc>
        <w:tc>
          <w:tcPr>
            <w:tcW w:w="1985" w:type="dxa"/>
            <w:tcBorders>
              <w:left w:val="single" w:sz="4" w:space="0" w:color="000000" w:themeColor="text1"/>
              <w:right w:val="single" w:sz="4" w:space="0" w:color="000000" w:themeColor="text1"/>
            </w:tcBorders>
          </w:tcPr>
          <w:p w14:paraId="6413DF5A" w14:textId="70A21D61" w:rsidR="00FF0129" w:rsidRPr="00631C1B" w:rsidRDefault="00FF0129" w:rsidP="00FF0129">
            <w:pPr>
              <w:jc w:val="center"/>
              <w:rPr>
                <w:sz w:val="18"/>
                <w:szCs w:val="18"/>
              </w:rPr>
            </w:pPr>
            <w:r w:rsidRPr="00631C1B">
              <w:rPr>
                <w:sz w:val="18"/>
                <w:szCs w:val="18"/>
              </w:rPr>
              <w:t>106</w:t>
            </w:r>
          </w:p>
        </w:tc>
        <w:tc>
          <w:tcPr>
            <w:tcW w:w="3192" w:type="dxa"/>
            <w:tcBorders>
              <w:left w:val="single" w:sz="4" w:space="0" w:color="000000" w:themeColor="text1"/>
            </w:tcBorders>
          </w:tcPr>
          <w:p w14:paraId="696C5BB4" w14:textId="2005BA8D" w:rsidR="00FF0129" w:rsidRPr="00631C1B" w:rsidRDefault="00FF0129" w:rsidP="003D4FEB">
            <w:pPr>
              <w:jc w:val="center"/>
              <w:rPr>
                <w:sz w:val="18"/>
                <w:szCs w:val="18"/>
              </w:rPr>
            </w:pPr>
            <w:r w:rsidRPr="00631C1B">
              <w:rPr>
                <w:sz w:val="18"/>
                <w:szCs w:val="18"/>
              </w:rPr>
              <w:t>2.0%</w:t>
            </w:r>
          </w:p>
        </w:tc>
      </w:tr>
      <w:tr w:rsidR="0043749D" w:rsidRPr="00631C1B" w14:paraId="28467B83" w14:textId="77777777" w:rsidTr="00B92D1F">
        <w:trPr>
          <w:trHeight w:val="174"/>
        </w:trPr>
        <w:tc>
          <w:tcPr>
            <w:tcW w:w="6527" w:type="dxa"/>
            <w:tcBorders>
              <w:bottom w:val="nil"/>
              <w:right w:val="single" w:sz="4" w:space="0" w:color="000000" w:themeColor="text1"/>
            </w:tcBorders>
          </w:tcPr>
          <w:p w14:paraId="1231FD46" w14:textId="77777777" w:rsidR="0043749D" w:rsidRPr="00631C1B" w:rsidRDefault="0043749D" w:rsidP="009A3F2B">
            <w:pPr>
              <w:rPr>
                <w:sz w:val="18"/>
                <w:szCs w:val="18"/>
              </w:rPr>
            </w:pPr>
            <w:r w:rsidRPr="00631C1B">
              <w:rPr>
                <w:sz w:val="18"/>
                <w:szCs w:val="18"/>
              </w:rPr>
              <w:t>Total</w:t>
            </w:r>
          </w:p>
        </w:tc>
        <w:tc>
          <w:tcPr>
            <w:tcW w:w="1918" w:type="dxa"/>
            <w:tcBorders>
              <w:left w:val="single" w:sz="4" w:space="0" w:color="000000" w:themeColor="text1"/>
              <w:bottom w:val="nil"/>
              <w:right w:val="single" w:sz="4" w:space="0" w:color="000000" w:themeColor="text1"/>
            </w:tcBorders>
          </w:tcPr>
          <w:p w14:paraId="22CE194F" w14:textId="692B769A" w:rsidR="0043749D" w:rsidRPr="00631C1B" w:rsidRDefault="0043749D" w:rsidP="009A3F2B">
            <w:pPr>
              <w:jc w:val="center"/>
              <w:rPr>
                <w:b/>
                <w:bCs/>
                <w:sz w:val="18"/>
                <w:szCs w:val="18"/>
              </w:rPr>
            </w:pPr>
            <w:r w:rsidRPr="00631C1B">
              <w:rPr>
                <w:b/>
                <w:bCs/>
                <w:sz w:val="18"/>
                <w:szCs w:val="18"/>
              </w:rPr>
              <w:t>1,3</w:t>
            </w:r>
            <w:r w:rsidR="00CB078A" w:rsidRPr="00631C1B">
              <w:rPr>
                <w:b/>
                <w:bCs/>
                <w:sz w:val="18"/>
                <w:szCs w:val="18"/>
              </w:rPr>
              <w:t>30</w:t>
            </w:r>
          </w:p>
        </w:tc>
        <w:tc>
          <w:tcPr>
            <w:tcW w:w="1985" w:type="dxa"/>
            <w:tcBorders>
              <w:left w:val="single" w:sz="4" w:space="0" w:color="000000" w:themeColor="text1"/>
              <w:bottom w:val="nil"/>
              <w:right w:val="single" w:sz="4" w:space="0" w:color="000000" w:themeColor="text1"/>
            </w:tcBorders>
          </w:tcPr>
          <w:p w14:paraId="57ADABFD" w14:textId="7E34718B" w:rsidR="0043749D" w:rsidRPr="00631C1B" w:rsidRDefault="0043749D" w:rsidP="009A3F2B">
            <w:pPr>
              <w:jc w:val="center"/>
              <w:rPr>
                <w:b/>
                <w:bCs/>
                <w:sz w:val="18"/>
                <w:szCs w:val="18"/>
              </w:rPr>
            </w:pPr>
          </w:p>
        </w:tc>
        <w:tc>
          <w:tcPr>
            <w:tcW w:w="3192" w:type="dxa"/>
            <w:tcBorders>
              <w:left w:val="single" w:sz="4" w:space="0" w:color="000000" w:themeColor="text1"/>
            </w:tcBorders>
          </w:tcPr>
          <w:p w14:paraId="3CABDCE8" w14:textId="4AAD116F" w:rsidR="0043749D" w:rsidRPr="00631C1B" w:rsidRDefault="0043749D" w:rsidP="003D4FEB">
            <w:pPr>
              <w:jc w:val="center"/>
              <w:rPr>
                <w:b/>
                <w:bCs/>
                <w:sz w:val="18"/>
                <w:szCs w:val="18"/>
              </w:rPr>
            </w:pPr>
          </w:p>
        </w:tc>
      </w:tr>
    </w:tbl>
    <w:p w14:paraId="4216FD25" w14:textId="77777777" w:rsidR="00B92D1F" w:rsidRPr="00631C1B" w:rsidRDefault="00B92D1F" w:rsidP="0043749D">
      <w:pPr>
        <w:pStyle w:val="Source"/>
        <w:sectPr w:rsidR="00B92D1F" w:rsidRPr="00631C1B" w:rsidSect="00B92D1F">
          <w:type w:val="continuous"/>
          <w:pgSz w:w="16838" w:h="11906" w:orient="landscape"/>
          <w:pgMar w:top="1440" w:right="964" w:bottom="1440" w:left="964" w:header="709" w:footer="709" w:gutter="0"/>
          <w:cols w:space="708"/>
          <w:docGrid w:linePitch="360"/>
        </w:sectPr>
      </w:pPr>
    </w:p>
    <w:p w14:paraId="494A665D" w14:textId="798A08F0" w:rsidR="00E13EEF" w:rsidRPr="00631C1B" w:rsidRDefault="0043749D" w:rsidP="00B92D1F">
      <w:pPr>
        <w:pStyle w:val="Source"/>
      </w:pPr>
      <w:r w:rsidRPr="00631C1B">
        <w:t>Source: Creative Scotland / BOP Consulting (20</w:t>
      </w:r>
      <w:r w:rsidR="00AA5D6B" w:rsidRPr="00631C1B">
        <w:t>20</w:t>
      </w:r>
      <w:r w:rsidRPr="00631C1B">
        <w:t>)</w:t>
      </w:r>
    </w:p>
    <w:p w14:paraId="3A684E1D" w14:textId="3F85CCE2" w:rsidR="00E13EEF" w:rsidRPr="00631C1B" w:rsidRDefault="00E13EEF">
      <w:pPr>
        <w:rPr>
          <w:b/>
          <w:bCs/>
          <w:szCs w:val="18"/>
        </w:rPr>
      </w:pPr>
    </w:p>
    <w:p w14:paraId="4C1655D6" w14:textId="42D32CBE" w:rsidR="0043749D" w:rsidRPr="00631C1B" w:rsidRDefault="0043749D" w:rsidP="0043749D">
      <w:pPr>
        <w:pStyle w:val="Caption"/>
      </w:pPr>
      <w:bookmarkStart w:id="42" w:name="_Toc42266751"/>
      <w:r w:rsidRPr="00631C1B">
        <w:lastRenderedPageBreak/>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16</w:t>
      </w:r>
      <w:r w:rsidRPr="00631C1B">
        <w:rPr>
          <w:noProof/>
        </w:rPr>
        <w:fldChar w:fldCharType="end"/>
      </w:r>
      <w:r w:rsidRPr="00631C1B">
        <w:t xml:space="preserve">  Where Targeted Fund participants have progressed to after completion of the programme (positive destinations) </w:t>
      </w:r>
      <w:r w:rsidR="00525E90" w:rsidRPr="00631C1B">
        <w:t>– All y</w:t>
      </w:r>
      <w:r w:rsidRPr="00631C1B">
        <w:t>ear</w:t>
      </w:r>
      <w:r w:rsidR="00525E90" w:rsidRPr="00631C1B">
        <w:t>s</w:t>
      </w:r>
      <w:bookmarkEnd w:id="42"/>
    </w:p>
    <w:p w14:paraId="7734AB7E" w14:textId="77777777" w:rsidR="00B92D1F" w:rsidRPr="00631C1B" w:rsidRDefault="00B92D1F" w:rsidP="009A3F2B">
      <w:pPr>
        <w:rPr>
          <w:b/>
          <w:color w:val="3C5896" w:themeColor="accent1"/>
          <w:sz w:val="18"/>
          <w:szCs w:val="18"/>
        </w:rPr>
        <w:sectPr w:rsidR="00B92D1F" w:rsidRPr="00631C1B" w:rsidSect="00A508FD">
          <w:type w:val="continuous"/>
          <w:pgSz w:w="16838" w:h="11906" w:orient="landscape"/>
          <w:pgMar w:top="1440" w:right="964" w:bottom="1440" w:left="964" w:header="709" w:footer="709" w:gutter="0"/>
          <w:cols w:num="2" w:space="708"/>
          <w:docGrid w:linePitch="360"/>
        </w:sectPr>
      </w:pPr>
    </w:p>
    <w:tbl>
      <w:tblPr>
        <w:tblStyle w:val="BOPtable"/>
        <w:tblW w:w="0" w:type="auto"/>
        <w:tblLayout w:type="fixed"/>
        <w:tblLook w:val="04A0" w:firstRow="1" w:lastRow="0" w:firstColumn="1" w:lastColumn="0" w:noHBand="0" w:noVBand="1"/>
      </w:tblPr>
      <w:tblGrid>
        <w:gridCol w:w="6613"/>
        <w:gridCol w:w="1944"/>
        <w:gridCol w:w="2012"/>
        <w:gridCol w:w="3234"/>
      </w:tblGrid>
      <w:tr w:rsidR="0043749D" w:rsidRPr="00631C1B" w14:paraId="49A26F3C" w14:textId="77777777" w:rsidTr="00B92D1F">
        <w:trPr>
          <w:cnfStyle w:val="100000000000" w:firstRow="1" w:lastRow="0" w:firstColumn="0" w:lastColumn="0" w:oddVBand="0" w:evenVBand="0" w:oddHBand="0" w:evenHBand="0" w:firstRowFirstColumn="0" w:firstRowLastColumn="0" w:lastRowFirstColumn="0" w:lastRowLastColumn="0"/>
          <w:trHeight w:val="610"/>
        </w:trPr>
        <w:tc>
          <w:tcPr>
            <w:tcW w:w="6613" w:type="dxa"/>
            <w:tcBorders>
              <w:right w:val="single" w:sz="4" w:space="0" w:color="000000" w:themeColor="text1"/>
            </w:tcBorders>
          </w:tcPr>
          <w:p w14:paraId="0FE7BE59" w14:textId="0571BB8C" w:rsidR="0043749D" w:rsidRPr="00631C1B" w:rsidRDefault="0043749D" w:rsidP="009A3F2B">
            <w:pPr>
              <w:rPr>
                <w:sz w:val="18"/>
                <w:szCs w:val="18"/>
              </w:rPr>
            </w:pPr>
            <w:r w:rsidRPr="00631C1B">
              <w:rPr>
                <w:sz w:val="18"/>
                <w:szCs w:val="18"/>
              </w:rPr>
              <w:t>Indicator</w:t>
            </w:r>
          </w:p>
        </w:tc>
        <w:tc>
          <w:tcPr>
            <w:tcW w:w="1944" w:type="dxa"/>
            <w:tcBorders>
              <w:left w:val="single" w:sz="4" w:space="0" w:color="000000" w:themeColor="text1"/>
              <w:right w:val="single" w:sz="4" w:space="0" w:color="000000" w:themeColor="text1"/>
            </w:tcBorders>
          </w:tcPr>
          <w:p w14:paraId="487E1A5F" w14:textId="77777777" w:rsidR="0043749D" w:rsidRPr="00631C1B" w:rsidRDefault="0043749D" w:rsidP="009A3F2B">
            <w:pPr>
              <w:jc w:val="center"/>
              <w:rPr>
                <w:sz w:val="18"/>
                <w:szCs w:val="18"/>
              </w:rPr>
            </w:pPr>
            <w:r w:rsidRPr="00631C1B">
              <w:rPr>
                <w:sz w:val="18"/>
                <w:szCs w:val="18"/>
              </w:rPr>
              <w:t>Grant offer letter target</w:t>
            </w:r>
          </w:p>
        </w:tc>
        <w:tc>
          <w:tcPr>
            <w:tcW w:w="2012" w:type="dxa"/>
            <w:tcBorders>
              <w:left w:val="single" w:sz="4" w:space="0" w:color="000000" w:themeColor="text1"/>
              <w:right w:val="single" w:sz="4" w:space="0" w:color="000000" w:themeColor="text1"/>
            </w:tcBorders>
          </w:tcPr>
          <w:p w14:paraId="28C697A3" w14:textId="77777777" w:rsidR="0043749D" w:rsidRPr="00631C1B" w:rsidRDefault="0043749D" w:rsidP="009A3F2B">
            <w:pPr>
              <w:jc w:val="center"/>
              <w:rPr>
                <w:sz w:val="18"/>
                <w:szCs w:val="18"/>
              </w:rPr>
            </w:pPr>
            <w:r w:rsidRPr="00631C1B">
              <w:rPr>
                <w:sz w:val="18"/>
                <w:szCs w:val="18"/>
              </w:rPr>
              <w:t>Total achieved</w:t>
            </w:r>
          </w:p>
        </w:tc>
        <w:tc>
          <w:tcPr>
            <w:tcW w:w="3234" w:type="dxa"/>
            <w:tcBorders>
              <w:left w:val="single" w:sz="4" w:space="0" w:color="000000" w:themeColor="text1"/>
            </w:tcBorders>
          </w:tcPr>
          <w:p w14:paraId="65B41BFC" w14:textId="77777777" w:rsidR="0043749D" w:rsidRPr="00631C1B" w:rsidRDefault="0043749D" w:rsidP="009A3F2B">
            <w:pPr>
              <w:jc w:val="center"/>
              <w:rPr>
                <w:sz w:val="18"/>
                <w:szCs w:val="18"/>
              </w:rPr>
            </w:pPr>
            <w:r w:rsidRPr="00631C1B">
              <w:rPr>
                <w:sz w:val="18"/>
                <w:szCs w:val="18"/>
              </w:rPr>
              <w:t>Proportion of participants achieving this outcome</w:t>
            </w:r>
          </w:p>
        </w:tc>
      </w:tr>
      <w:tr w:rsidR="00FA5442" w:rsidRPr="00631C1B" w14:paraId="2A4A4CF7" w14:textId="77777777" w:rsidTr="00B92D1F">
        <w:trPr>
          <w:trHeight w:val="152"/>
        </w:trPr>
        <w:tc>
          <w:tcPr>
            <w:tcW w:w="6613" w:type="dxa"/>
            <w:tcBorders>
              <w:right w:val="single" w:sz="4" w:space="0" w:color="000000" w:themeColor="text1"/>
            </w:tcBorders>
          </w:tcPr>
          <w:p w14:paraId="19BB7E0D" w14:textId="55471240" w:rsidR="00FA5442" w:rsidRPr="00631C1B" w:rsidRDefault="00FA5442" w:rsidP="00FA5442">
            <w:pPr>
              <w:rPr>
                <w:sz w:val="18"/>
                <w:szCs w:val="18"/>
              </w:rPr>
            </w:pPr>
            <w:r w:rsidRPr="00631C1B">
              <w:rPr>
                <w:sz w:val="18"/>
                <w:szCs w:val="18"/>
              </w:rPr>
              <w:t># in training as part of the programme</w:t>
            </w:r>
          </w:p>
        </w:tc>
        <w:tc>
          <w:tcPr>
            <w:tcW w:w="1944" w:type="dxa"/>
            <w:tcBorders>
              <w:left w:val="single" w:sz="4" w:space="0" w:color="000000" w:themeColor="text1"/>
              <w:right w:val="single" w:sz="4" w:space="0" w:color="000000" w:themeColor="text1"/>
            </w:tcBorders>
          </w:tcPr>
          <w:p w14:paraId="48DF70C5" w14:textId="5B23D789"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3EF60A50" w14:textId="716ADA5C" w:rsidR="00FA5442" w:rsidRPr="00631C1B" w:rsidRDefault="00FA5442" w:rsidP="00FA5442">
            <w:pPr>
              <w:jc w:val="center"/>
              <w:rPr>
                <w:sz w:val="18"/>
                <w:szCs w:val="18"/>
              </w:rPr>
            </w:pPr>
            <w:r w:rsidRPr="00631C1B">
              <w:rPr>
                <w:sz w:val="18"/>
                <w:szCs w:val="18"/>
              </w:rPr>
              <w:t>1,143</w:t>
            </w:r>
          </w:p>
        </w:tc>
        <w:tc>
          <w:tcPr>
            <w:tcW w:w="3234" w:type="dxa"/>
            <w:tcBorders>
              <w:left w:val="single" w:sz="4" w:space="0" w:color="000000" w:themeColor="text1"/>
            </w:tcBorders>
            <w:vAlign w:val="bottom"/>
          </w:tcPr>
          <w:p w14:paraId="7FF6633E" w14:textId="5860E532" w:rsidR="00FA5442" w:rsidRPr="00631C1B" w:rsidRDefault="00FA5442" w:rsidP="001C4F0D">
            <w:pPr>
              <w:jc w:val="center"/>
              <w:rPr>
                <w:rFonts w:cs="Arial"/>
                <w:sz w:val="18"/>
                <w:szCs w:val="18"/>
              </w:rPr>
            </w:pPr>
            <w:r w:rsidRPr="00631C1B">
              <w:rPr>
                <w:rFonts w:cs="Arial"/>
                <w:color w:val="000000"/>
                <w:sz w:val="18"/>
                <w:szCs w:val="18"/>
              </w:rPr>
              <w:t>8.0%</w:t>
            </w:r>
          </w:p>
        </w:tc>
      </w:tr>
      <w:tr w:rsidR="00FA5442" w:rsidRPr="00631C1B" w14:paraId="344D1C48" w14:textId="77777777" w:rsidTr="00B92D1F">
        <w:trPr>
          <w:trHeight w:val="161"/>
        </w:trPr>
        <w:tc>
          <w:tcPr>
            <w:tcW w:w="6613" w:type="dxa"/>
            <w:tcBorders>
              <w:right w:val="single" w:sz="4" w:space="0" w:color="000000" w:themeColor="text1"/>
            </w:tcBorders>
          </w:tcPr>
          <w:p w14:paraId="30882DA7" w14:textId="2293F685" w:rsidR="00FA5442" w:rsidRPr="00631C1B" w:rsidRDefault="00FA5442" w:rsidP="00FA5442">
            <w:pPr>
              <w:rPr>
                <w:sz w:val="18"/>
                <w:szCs w:val="18"/>
              </w:rPr>
            </w:pPr>
            <w:r w:rsidRPr="00631C1B">
              <w:rPr>
                <w:sz w:val="18"/>
                <w:szCs w:val="18"/>
              </w:rPr>
              <w:t># in learning as part of the programme</w:t>
            </w:r>
          </w:p>
        </w:tc>
        <w:tc>
          <w:tcPr>
            <w:tcW w:w="1944" w:type="dxa"/>
            <w:tcBorders>
              <w:left w:val="single" w:sz="4" w:space="0" w:color="000000" w:themeColor="text1"/>
              <w:right w:val="single" w:sz="4" w:space="0" w:color="000000" w:themeColor="text1"/>
            </w:tcBorders>
          </w:tcPr>
          <w:p w14:paraId="734C341C" w14:textId="09109856"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4D780B36" w14:textId="429132E1" w:rsidR="00FA5442" w:rsidRPr="00631C1B" w:rsidRDefault="00FA5442" w:rsidP="00FA5442">
            <w:pPr>
              <w:jc w:val="center"/>
              <w:rPr>
                <w:sz w:val="18"/>
                <w:szCs w:val="18"/>
              </w:rPr>
            </w:pPr>
            <w:r w:rsidRPr="00631C1B">
              <w:rPr>
                <w:sz w:val="18"/>
                <w:szCs w:val="18"/>
              </w:rPr>
              <w:t>6,060</w:t>
            </w:r>
          </w:p>
        </w:tc>
        <w:tc>
          <w:tcPr>
            <w:tcW w:w="3234" w:type="dxa"/>
            <w:tcBorders>
              <w:left w:val="single" w:sz="4" w:space="0" w:color="000000" w:themeColor="text1"/>
            </w:tcBorders>
            <w:vAlign w:val="bottom"/>
          </w:tcPr>
          <w:p w14:paraId="1152E5F8" w14:textId="18459A64" w:rsidR="00FA5442" w:rsidRPr="00631C1B" w:rsidRDefault="00FA5442" w:rsidP="001C4F0D">
            <w:pPr>
              <w:jc w:val="center"/>
              <w:rPr>
                <w:rFonts w:cs="Arial"/>
                <w:sz w:val="18"/>
                <w:szCs w:val="18"/>
              </w:rPr>
            </w:pPr>
            <w:r w:rsidRPr="00631C1B">
              <w:rPr>
                <w:rFonts w:cs="Arial"/>
                <w:color w:val="000000"/>
                <w:sz w:val="18"/>
                <w:szCs w:val="18"/>
              </w:rPr>
              <w:t>42.5%</w:t>
            </w:r>
          </w:p>
        </w:tc>
      </w:tr>
      <w:tr w:rsidR="00FA5442" w:rsidRPr="00631C1B" w14:paraId="6FD6D743" w14:textId="77777777" w:rsidTr="00B92D1F">
        <w:trPr>
          <w:trHeight w:val="305"/>
        </w:trPr>
        <w:tc>
          <w:tcPr>
            <w:tcW w:w="6613" w:type="dxa"/>
            <w:tcBorders>
              <w:right w:val="single" w:sz="4" w:space="0" w:color="000000" w:themeColor="text1"/>
            </w:tcBorders>
          </w:tcPr>
          <w:p w14:paraId="0B6C9DA3" w14:textId="21651AEB" w:rsidR="00FA5442" w:rsidRPr="00631C1B" w:rsidRDefault="00FA5442" w:rsidP="00FA5442">
            <w:pPr>
              <w:rPr>
                <w:sz w:val="18"/>
                <w:szCs w:val="18"/>
              </w:rPr>
            </w:pPr>
            <w:r w:rsidRPr="00631C1B">
              <w:rPr>
                <w:sz w:val="18"/>
                <w:szCs w:val="18"/>
              </w:rPr>
              <w:t># in employment as part of the programme</w:t>
            </w:r>
          </w:p>
        </w:tc>
        <w:tc>
          <w:tcPr>
            <w:tcW w:w="1944" w:type="dxa"/>
            <w:tcBorders>
              <w:left w:val="single" w:sz="4" w:space="0" w:color="000000" w:themeColor="text1"/>
              <w:right w:val="single" w:sz="4" w:space="0" w:color="000000" w:themeColor="text1"/>
            </w:tcBorders>
          </w:tcPr>
          <w:p w14:paraId="60E81F0D" w14:textId="5CB0CE7E"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43FC0F56" w14:textId="5759BC7A" w:rsidR="00FA5442" w:rsidRPr="00631C1B" w:rsidRDefault="00FA5442" w:rsidP="00FA5442">
            <w:pPr>
              <w:jc w:val="center"/>
              <w:rPr>
                <w:sz w:val="18"/>
                <w:szCs w:val="18"/>
              </w:rPr>
            </w:pPr>
            <w:r w:rsidRPr="00631C1B">
              <w:rPr>
                <w:sz w:val="18"/>
                <w:szCs w:val="18"/>
              </w:rPr>
              <w:t>0</w:t>
            </w:r>
          </w:p>
        </w:tc>
        <w:tc>
          <w:tcPr>
            <w:tcW w:w="3234" w:type="dxa"/>
            <w:tcBorders>
              <w:left w:val="single" w:sz="4" w:space="0" w:color="000000" w:themeColor="text1"/>
            </w:tcBorders>
            <w:vAlign w:val="bottom"/>
          </w:tcPr>
          <w:p w14:paraId="37E53960" w14:textId="41409F08" w:rsidR="00FA5442" w:rsidRPr="00631C1B" w:rsidRDefault="00FA5442" w:rsidP="001C4F0D">
            <w:pPr>
              <w:jc w:val="center"/>
              <w:rPr>
                <w:rFonts w:cs="Arial"/>
                <w:sz w:val="18"/>
                <w:szCs w:val="18"/>
              </w:rPr>
            </w:pPr>
            <w:r w:rsidRPr="00631C1B">
              <w:rPr>
                <w:rFonts w:cs="Arial"/>
                <w:color w:val="000000"/>
                <w:sz w:val="18"/>
                <w:szCs w:val="18"/>
              </w:rPr>
              <w:t>0.0%</w:t>
            </w:r>
          </w:p>
        </w:tc>
      </w:tr>
      <w:tr w:rsidR="00FA5442" w:rsidRPr="00631C1B" w14:paraId="0E727F1C" w14:textId="77777777" w:rsidTr="00B92D1F">
        <w:trPr>
          <w:trHeight w:val="314"/>
        </w:trPr>
        <w:tc>
          <w:tcPr>
            <w:tcW w:w="6613" w:type="dxa"/>
            <w:tcBorders>
              <w:right w:val="single" w:sz="4" w:space="0" w:color="000000" w:themeColor="text1"/>
            </w:tcBorders>
          </w:tcPr>
          <w:p w14:paraId="63F6284C" w14:textId="3EC6719A" w:rsidR="00FA5442" w:rsidRPr="00631C1B" w:rsidRDefault="00FA5442" w:rsidP="00FA5442">
            <w:pPr>
              <w:rPr>
                <w:sz w:val="18"/>
                <w:szCs w:val="18"/>
              </w:rPr>
            </w:pPr>
            <w:r w:rsidRPr="00631C1B">
              <w:rPr>
                <w:sz w:val="18"/>
                <w:szCs w:val="18"/>
              </w:rPr>
              <w:t># in volunteering as part of the programme</w:t>
            </w:r>
          </w:p>
        </w:tc>
        <w:tc>
          <w:tcPr>
            <w:tcW w:w="1944" w:type="dxa"/>
            <w:tcBorders>
              <w:left w:val="single" w:sz="4" w:space="0" w:color="000000" w:themeColor="text1"/>
              <w:right w:val="single" w:sz="4" w:space="0" w:color="000000" w:themeColor="text1"/>
            </w:tcBorders>
          </w:tcPr>
          <w:p w14:paraId="7574D747" w14:textId="0BF003E6"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1E73BFAC" w14:textId="28A06CE3" w:rsidR="00FA5442" w:rsidRPr="00631C1B" w:rsidRDefault="00FA5442" w:rsidP="00FA5442">
            <w:pPr>
              <w:jc w:val="center"/>
              <w:rPr>
                <w:sz w:val="18"/>
                <w:szCs w:val="18"/>
              </w:rPr>
            </w:pPr>
            <w:r w:rsidRPr="00631C1B">
              <w:rPr>
                <w:sz w:val="18"/>
                <w:szCs w:val="18"/>
              </w:rPr>
              <w:t>0</w:t>
            </w:r>
          </w:p>
        </w:tc>
        <w:tc>
          <w:tcPr>
            <w:tcW w:w="3234" w:type="dxa"/>
            <w:tcBorders>
              <w:left w:val="single" w:sz="4" w:space="0" w:color="000000" w:themeColor="text1"/>
            </w:tcBorders>
            <w:vAlign w:val="bottom"/>
          </w:tcPr>
          <w:p w14:paraId="598CED25" w14:textId="6721D24A" w:rsidR="00FA5442" w:rsidRPr="00631C1B" w:rsidRDefault="00FA5442" w:rsidP="001C4F0D">
            <w:pPr>
              <w:jc w:val="center"/>
              <w:rPr>
                <w:rFonts w:cs="Arial"/>
                <w:sz w:val="18"/>
                <w:szCs w:val="18"/>
              </w:rPr>
            </w:pPr>
            <w:r w:rsidRPr="00631C1B">
              <w:rPr>
                <w:rFonts w:cs="Arial"/>
                <w:color w:val="000000"/>
                <w:sz w:val="18"/>
                <w:szCs w:val="18"/>
              </w:rPr>
              <w:t>0.0%</w:t>
            </w:r>
          </w:p>
        </w:tc>
      </w:tr>
      <w:tr w:rsidR="00FA5442" w:rsidRPr="00631C1B" w14:paraId="4C1158FE" w14:textId="77777777" w:rsidTr="00B92D1F">
        <w:trPr>
          <w:trHeight w:val="305"/>
        </w:trPr>
        <w:tc>
          <w:tcPr>
            <w:tcW w:w="6613" w:type="dxa"/>
            <w:tcBorders>
              <w:right w:val="single" w:sz="4" w:space="0" w:color="000000" w:themeColor="text1"/>
            </w:tcBorders>
          </w:tcPr>
          <w:p w14:paraId="77921EB8" w14:textId="77777777" w:rsidR="00FA5442" w:rsidRPr="00631C1B" w:rsidRDefault="00FA5442" w:rsidP="00FA5442">
            <w:pPr>
              <w:rPr>
                <w:sz w:val="18"/>
                <w:szCs w:val="18"/>
              </w:rPr>
            </w:pPr>
            <w:r w:rsidRPr="00631C1B">
              <w:rPr>
                <w:sz w:val="18"/>
                <w:szCs w:val="18"/>
              </w:rPr>
              <w:t># progressing into a further informal learning opportunity in your organisation</w:t>
            </w:r>
          </w:p>
        </w:tc>
        <w:tc>
          <w:tcPr>
            <w:tcW w:w="1944" w:type="dxa"/>
            <w:tcBorders>
              <w:left w:val="single" w:sz="4" w:space="0" w:color="000000" w:themeColor="text1"/>
              <w:right w:val="single" w:sz="4" w:space="0" w:color="000000" w:themeColor="text1"/>
            </w:tcBorders>
          </w:tcPr>
          <w:p w14:paraId="3BB17573" w14:textId="11D23A2B"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21F39951" w14:textId="44DB9BB4" w:rsidR="00FA5442" w:rsidRPr="00631C1B" w:rsidRDefault="00FA5442" w:rsidP="00FA5442">
            <w:pPr>
              <w:jc w:val="center"/>
              <w:rPr>
                <w:sz w:val="18"/>
                <w:szCs w:val="18"/>
              </w:rPr>
            </w:pPr>
            <w:r w:rsidRPr="00631C1B">
              <w:rPr>
                <w:sz w:val="18"/>
                <w:szCs w:val="18"/>
              </w:rPr>
              <w:t>1,265</w:t>
            </w:r>
          </w:p>
        </w:tc>
        <w:tc>
          <w:tcPr>
            <w:tcW w:w="3234" w:type="dxa"/>
            <w:tcBorders>
              <w:left w:val="single" w:sz="4" w:space="0" w:color="000000" w:themeColor="text1"/>
            </w:tcBorders>
            <w:vAlign w:val="bottom"/>
          </w:tcPr>
          <w:p w14:paraId="194D786B" w14:textId="178D5FAA" w:rsidR="00FA5442" w:rsidRPr="00631C1B" w:rsidRDefault="00FA5442" w:rsidP="001C4F0D">
            <w:pPr>
              <w:jc w:val="center"/>
              <w:rPr>
                <w:rFonts w:cs="Arial"/>
                <w:sz w:val="18"/>
                <w:szCs w:val="18"/>
              </w:rPr>
            </w:pPr>
            <w:r w:rsidRPr="00631C1B">
              <w:rPr>
                <w:rFonts w:cs="Arial"/>
                <w:color w:val="000000"/>
                <w:sz w:val="18"/>
                <w:szCs w:val="18"/>
              </w:rPr>
              <w:t>8.9%</w:t>
            </w:r>
          </w:p>
        </w:tc>
      </w:tr>
      <w:tr w:rsidR="00FA5442" w:rsidRPr="00631C1B" w14:paraId="799A9B98" w14:textId="77777777" w:rsidTr="00B92D1F">
        <w:trPr>
          <w:trHeight w:val="466"/>
        </w:trPr>
        <w:tc>
          <w:tcPr>
            <w:tcW w:w="6613" w:type="dxa"/>
            <w:tcBorders>
              <w:right w:val="single" w:sz="4" w:space="0" w:color="000000" w:themeColor="text1"/>
            </w:tcBorders>
          </w:tcPr>
          <w:p w14:paraId="508FE3FC" w14:textId="77777777" w:rsidR="00FA5442" w:rsidRPr="00631C1B" w:rsidRDefault="00FA5442" w:rsidP="00FA5442">
            <w:pPr>
              <w:rPr>
                <w:sz w:val="18"/>
                <w:szCs w:val="18"/>
              </w:rPr>
            </w:pPr>
            <w:r w:rsidRPr="00631C1B">
              <w:rPr>
                <w:sz w:val="18"/>
                <w:szCs w:val="18"/>
              </w:rPr>
              <w:t># progressing into a further informal learning opportunity in another organisation</w:t>
            </w:r>
          </w:p>
        </w:tc>
        <w:tc>
          <w:tcPr>
            <w:tcW w:w="1944" w:type="dxa"/>
            <w:tcBorders>
              <w:left w:val="single" w:sz="4" w:space="0" w:color="000000" w:themeColor="text1"/>
              <w:right w:val="single" w:sz="4" w:space="0" w:color="000000" w:themeColor="text1"/>
            </w:tcBorders>
          </w:tcPr>
          <w:p w14:paraId="3B2A20F9" w14:textId="490E2C28"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5A3FD5E9" w14:textId="181CC3E4" w:rsidR="00FA5442" w:rsidRPr="00631C1B" w:rsidRDefault="00FA5442" w:rsidP="00FA5442">
            <w:pPr>
              <w:jc w:val="center"/>
              <w:rPr>
                <w:sz w:val="18"/>
                <w:szCs w:val="18"/>
              </w:rPr>
            </w:pPr>
            <w:r w:rsidRPr="00631C1B">
              <w:rPr>
                <w:sz w:val="18"/>
                <w:szCs w:val="18"/>
              </w:rPr>
              <w:t>745</w:t>
            </w:r>
          </w:p>
        </w:tc>
        <w:tc>
          <w:tcPr>
            <w:tcW w:w="3234" w:type="dxa"/>
            <w:tcBorders>
              <w:left w:val="single" w:sz="4" w:space="0" w:color="000000" w:themeColor="text1"/>
            </w:tcBorders>
            <w:vAlign w:val="bottom"/>
          </w:tcPr>
          <w:p w14:paraId="5DFE233C" w14:textId="259BBD20" w:rsidR="00FA5442" w:rsidRPr="00631C1B" w:rsidRDefault="00FA5442" w:rsidP="001C4F0D">
            <w:pPr>
              <w:jc w:val="center"/>
              <w:rPr>
                <w:rFonts w:cs="Arial"/>
                <w:sz w:val="18"/>
                <w:szCs w:val="18"/>
              </w:rPr>
            </w:pPr>
            <w:r w:rsidRPr="00631C1B">
              <w:rPr>
                <w:rFonts w:cs="Arial"/>
                <w:color w:val="000000"/>
                <w:sz w:val="18"/>
                <w:szCs w:val="18"/>
              </w:rPr>
              <w:t>5.2%</w:t>
            </w:r>
          </w:p>
        </w:tc>
      </w:tr>
      <w:tr w:rsidR="00FA5442" w:rsidRPr="00631C1B" w14:paraId="38633CED" w14:textId="77777777" w:rsidTr="00B92D1F">
        <w:trPr>
          <w:trHeight w:val="152"/>
        </w:trPr>
        <w:tc>
          <w:tcPr>
            <w:tcW w:w="6613" w:type="dxa"/>
            <w:tcBorders>
              <w:right w:val="single" w:sz="4" w:space="0" w:color="000000" w:themeColor="text1"/>
            </w:tcBorders>
          </w:tcPr>
          <w:p w14:paraId="3B501E84" w14:textId="77777777" w:rsidR="00FA5442" w:rsidRPr="00631C1B" w:rsidRDefault="00FA5442" w:rsidP="00FA5442">
            <w:pPr>
              <w:rPr>
                <w:sz w:val="18"/>
                <w:szCs w:val="18"/>
              </w:rPr>
            </w:pPr>
            <w:r w:rsidRPr="00631C1B">
              <w:rPr>
                <w:sz w:val="18"/>
                <w:szCs w:val="18"/>
              </w:rPr>
              <w:t># remaining at or returning to school</w:t>
            </w:r>
          </w:p>
        </w:tc>
        <w:tc>
          <w:tcPr>
            <w:tcW w:w="1944" w:type="dxa"/>
            <w:tcBorders>
              <w:left w:val="single" w:sz="4" w:space="0" w:color="000000" w:themeColor="text1"/>
              <w:right w:val="single" w:sz="4" w:space="0" w:color="000000" w:themeColor="text1"/>
            </w:tcBorders>
          </w:tcPr>
          <w:p w14:paraId="0BAF7104" w14:textId="3FC0DEA3"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648F6FBB" w14:textId="461CA63C" w:rsidR="00FA5442" w:rsidRPr="00631C1B" w:rsidRDefault="00FA5442" w:rsidP="00FA5442">
            <w:pPr>
              <w:jc w:val="center"/>
              <w:rPr>
                <w:sz w:val="18"/>
                <w:szCs w:val="18"/>
              </w:rPr>
            </w:pPr>
            <w:r w:rsidRPr="00631C1B">
              <w:rPr>
                <w:sz w:val="18"/>
                <w:szCs w:val="18"/>
              </w:rPr>
              <w:t>2,201</w:t>
            </w:r>
          </w:p>
        </w:tc>
        <w:tc>
          <w:tcPr>
            <w:tcW w:w="3234" w:type="dxa"/>
            <w:tcBorders>
              <w:left w:val="single" w:sz="4" w:space="0" w:color="000000" w:themeColor="text1"/>
            </w:tcBorders>
            <w:vAlign w:val="bottom"/>
          </w:tcPr>
          <w:p w14:paraId="6DBE4B7F" w14:textId="62B32939" w:rsidR="00FA5442" w:rsidRPr="00631C1B" w:rsidRDefault="00FA5442" w:rsidP="001C4F0D">
            <w:pPr>
              <w:jc w:val="center"/>
              <w:rPr>
                <w:rFonts w:cs="Arial"/>
                <w:sz w:val="18"/>
                <w:szCs w:val="18"/>
              </w:rPr>
            </w:pPr>
            <w:r w:rsidRPr="00631C1B">
              <w:rPr>
                <w:rFonts w:cs="Arial"/>
                <w:color w:val="000000"/>
                <w:sz w:val="18"/>
                <w:szCs w:val="18"/>
              </w:rPr>
              <w:t>15.4%</w:t>
            </w:r>
          </w:p>
        </w:tc>
      </w:tr>
      <w:tr w:rsidR="00FA5442" w:rsidRPr="00631C1B" w14:paraId="3E47706C" w14:textId="77777777" w:rsidTr="00B92D1F">
        <w:trPr>
          <w:trHeight w:val="314"/>
        </w:trPr>
        <w:tc>
          <w:tcPr>
            <w:tcW w:w="6613" w:type="dxa"/>
            <w:tcBorders>
              <w:right w:val="single" w:sz="4" w:space="0" w:color="000000" w:themeColor="text1"/>
            </w:tcBorders>
          </w:tcPr>
          <w:p w14:paraId="52251841" w14:textId="77777777" w:rsidR="00FA5442" w:rsidRPr="00631C1B" w:rsidRDefault="00FA5442" w:rsidP="00FA5442">
            <w:pPr>
              <w:rPr>
                <w:sz w:val="18"/>
                <w:szCs w:val="18"/>
              </w:rPr>
            </w:pPr>
            <w:r w:rsidRPr="00631C1B">
              <w:rPr>
                <w:sz w:val="18"/>
                <w:szCs w:val="18"/>
              </w:rPr>
              <w:t># taking a course of further or higher education</w:t>
            </w:r>
          </w:p>
        </w:tc>
        <w:tc>
          <w:tcPr>
            <w:tcW w:w="1944" w:type="dxa"/>
            <w:tcBorders>
              <w:left w:val="single" w:sz="4" w:space="0" w:color="000000" w:themeColor="text1"/>
              <w:right w:val="single" w:sz="4" w:space="0" w:color="000000" w:themeColor="text1"/>
            </w:tcBorders>
          </w:tcPr>
          <w:p w14:paraId="74204C61" w14:textId="6529E077"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161F0C1E" w14:textId="20876FA2" w:rsidR="00FA5442" w:rsidRPr="00631C1B" w:rsidRDefault="00FA5442" w:rsidP="00FA5442">
            <w:pPr>
              <w:jc w:val="center"/>
              <w:rPr>
                <w:sz w:val="18"/>
                <w:szCs w:val="18"/>
              </w:rPr>
            </w:pPr>
            <w:r w:rsidRPr="00631C1B">
              <w:rPr>
                <w:sz w:val="18"/>
                <w:szCs w:val="18"/>
              </w:rPr>
              <w:t>283</w:t>
            </w:r>
          </w:p>
        </w:tc>
        <w:tc>
          <w:tcPr>
            <w:tcW w:w="3234" w:type="dxa"/>
            <w:tcBorders>
              <w:left w:val="single" w:sz="4" w:space="0" w:color="000000" w:themeColor="text1"/>
            </w:tcBorders>
            <w:vAlign w:val="bottom"/>
          </w:tcPr>
          <w:p w14:paraId="40209D83" w14:textId="0E415D2E" w:rsidR="00FA5442" w:rsidRPr="00631C1B" w:rsidRDefault="00FA5442" w:rsidP="001C4F0D">
            <w:pPr>
              <w:jc w:val="center"/>
              <w:rPr>
                <w:rFonts w:cs="Arial"/>
                <w:sz w:val="18"/>
                <w:szCs w:val="18"/>
              </w:rPr>
            </w:pPr>
            <w:r w:rsidRPr="00631C1B">
              <w:rPr>
                <w:rFonts w:cs="Arial"/>
                <w:color w:val="000000"/>
                <w:sz w:val="18"/>
                <w:szCs w:val="18"/>
              </w:rPr>
              <w:t>2.0%</w:t>
            </w:r>
          </w:p>
        </w:tc>
      </w:tr>
      <w:tr w:rsidR="00FA5442" w:rsidRPr="00631C1B" w14:paraId="78F16EB0" w14:textId="77777777" w:rsidTr="00B92D1F">
        <w:trPr>
          <w:trHeight w:val="305"/>
        </w:trPr>
        <w:tc>
          <w:tcPr>
            <w:tcW w:w="6613" w:type="dxa"/>
            <w:tcBorders>
              <w:right w:val="single" w:sz="4" w:space="0" w:color="000000" w:themeColor="text1"/>
            </w:tcBorders>
          </w:tcPr>
          <w:p w14:paraId="55B0C429" w14:textId="77777777" w:rsidR="00FA5442" w:rsidRPr="00631C1B" w:rsidRDefault="00FA5442" w:rsidP="00FA5442">
            <w:pPr>
              <w:rPr>
                <w:sz w:val="18"/>
                <w:szCs w:val="18"/>
              </w:rPr>
            </w:pPr>
            <w:r w:rsidRPr="00631C1B">
              <w:rPr>
                <w:sz w:val="18"/>
                <w:szCs w:val="18"/>
              </w:rPr>
              <w:t># undertaking a Skills Development Scotland-funded training programme</w:t>
            </w:r>
          </w:p>
        </w:tc>
        <w:tc>
          <w:tcPr>
            <w:tcW w:w="1944" w:type="dxa"/>
            <w:tcBorders>
              <w:left w:val="single" w:sz="4" w:space="0" w:color="000000" w:themeColor="text1"/>
              <w:right w:val="single" w:sz="4" w:space="0" w:color="000000" w:themeColor="text1"/>
            </w:tcBorders>
          </w:tcPr>
          <w:p w14:paraId="79624C6E" w14:textId="1295197D"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4B1B1B9C" w14:textId="06D25247" w:rsidR="00FA5442" w:rsidRPr="00631C1B" w:rsidRDefault="00FA5442" w:rsidP="00FA5442">
            <w:pPr>
              <w:jc w:val="center"/>
              <w:rPr>
                <w:sz w:val="18"/>
                <w:szCs w:val="18"/>
              </w:rPr>
            </w:pPr>
            <w:r w:rsidRPr="00631C1B">
              <w:rPr>
                <w:sz w:val="18"/>
                <w:szCs w:val="18"/>
              </w:rPr>
              <w:t>9</w:t>
            </w:r>
          </w:p>
        </w:tc>
        <w:tc>
          <w:tcPr>
            <w:tcW w:w="3234" w:type="dxa"/>
            <w:tcBorders>
              <w:left w:val="single" w:sz="4" w:space="0" w:color="000000" w:themeColor="text1"/>
            </w:tcBorders>
            <w:vAlign w:val="bottom"/>
          </w:tcPr>
          <w:p w14:paraId="69FF0F0E" w14:textId="7CA06FA5" w:rsidR="00FA5442" w:rsidRPr="00631C1B" w:rsidRDefault="00FA5442" w:rsidP="001C4F0D">
            <w:pPr>
              <w:jc w:val="center"/>
              <w:rPr>
                <w:rFonts w:cs="Arial"/>
                <w:sz w:val="18"/>
                <w:szCs w:val="18"/>
              </w:rPr>
            </w:pPr>
            <w:r w:rsidRPr="00631C1B">
              <w:rPr>
                <w:rFonts w:cs="Arial"/>
                <w:color w:val="000000"/>
                <w:sz w:val="18"/>
                <w:szCs w:val="18"/>
              </w:rPr>
              <w:t>0.1%</w:t>
            </w:r>
          </w:p>
        </w:tc>
      </w:tr>
      <w:tr w:rsidR="00FA5442" w:rsidRPr="00631C1B" w14:paraId="29D041AC" w14:textId="77777777" w:rsidTr="00B92D1F">
        <w:trPr>
          <w:trHeight w:val="152"/>
        </w:trPr>
        <w:tc>
          <w:tcPr>
            <w:tcW w:w="6613" w:type="dxa"/>
            <w:tcBorders>
              <w:right w:val="single" w:sz="4" w:space="0" w:color="000000" w:themeColor="text1"/>
            </w:tcBorders>
          </w:tcPr>
          <w:p w14:paraId="613057A3" w14:textId="77777777" w:rsidR="00FA5442" w:rsidRPr="00631C1B" w:rsidRDefault="00FA5442" w:rsidP="00FA5442">
            <w:pPr>
              <w:rPr>
                <w:sz w:val="18"/>
                <w:szCs w:val="18"/>
              </w:rPr>
            </w:pPr>
            <w:r w:rsidRPr="00631C1B">
              <w:rPr>
                <w:sz w:val="18"/>
                <w:szCs w:val="18"/>
              </w:rPr>
              <w:t xml:space="preserve"># engaging in an Activity Agreement </w:t>
            </w:r>
          </w:p>
        </w:tc>
        <w:tc>
          <w:tcPr>
            <w:tcW w:w="1944" w:type="dxa"/>
            <w:tcBorders>
              <w:left w:val="single" w:sz="4" w:space="0" w:color="000000" w:themeColor="text1"/>
              <w:right w:val="single" w:sz="4" w:space="0" w:color="000000" w:themeColor="text1"/>
            </w:tcBorders>
          </w:tcPr>
          <w:p w14:paraId="169EF23E" w14:textId="7CFF853B"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6ABFE8D2" w14:textId="4A9B0B9F" w:rsidR="00FA5442" w:rsidRPr="00631C1B" w:rsidRDefault="00FA5442" w:rsidP="00FA5442">
            <w:pPr>
              <w:jc w:val="center"/>
              <w:rPr>
                <w:sz w:val="18"/>
                <w:szCs w:val="18"/>
              </w:rPr>
            </w:pPr>
            <w:r w:rsidRPr="00631C1B">
              <w:rPr>
                <w:sz w:val="18"/>
                <w:szCs w:val="18"/>
              </w:rPr>
              <w:t>147</w:t>
            </w:r>
          </w:p>
        </w:tc>
        <w:tc>
          <w:tcPr>
            <w:tcW w:w="3234" w:type="dxa"/>
            <w:tcBorders>
              <w:left w:val="single" w:sz="4" w:space="0" w:color="000000" w:themeColor="text1"/>
            </w:tcBorders>
            <w:vAlign w:val="bottom"/>
          </w:tcPr>
          <w:p w14:paraId="5F53B83F" w14:textId="31E80727" w:rsidR="00FA5442" w:rsidRPr="00631C1B" w:rsidRDefault="00FA5442" w:rsidP="001C4F0D">
            <w:pPr>
              <w:jc w:val="center"/>
              <w:rPr>
                <w:rFonts w:cs="Arial"/>
                <w:sz w:val="18"/>
                <w:szCs w:val="18"/>
              </w:rPr>
            </w:pPr>
            <w:r w:rsidRPr="00631C1B">
              <w:rPr>
                <w:rFonts w:cs="Arial"/>
                <w:color w:val="000000"/>
                <w:sz w:val="18"/>
                <w:szCs w:val="18"/>
              </w:rPr>
              <w:t>1.0%</w:t>
            </w:r>
          </w:p>
        </w:tc>
      </w:tr>
      <w:tr w:rsidR="00FA5442" w:rsidRPr="00631C1B" w14:paraId="0DF2A390" w14:textId="77777777" w:rsidTr="00B92D1F">
        <w:trPr>
          <w:trHeight w:val="619"/>
        </w:trPr>
        <w:tc>
          <w:tcPr>
            <w:tcW w:w="6613" w:type="dxa"/>
            <w:tcBorders>
              <w:right w:val="single" w:sz="4" w:space="0" w:color="000000" w:themeColor="text1"/>
            </w:tcBorders>
          </w:tcPr>
          <w:p w14:paraId="357435D5" w14:textId="77777777" w:rsidR="00FA5442" w:rsidRPr="00631C1B" w:rsidRDefault="00FA5442" w:rsidP="00FA5442">
            <w:pPr>
              <w:rPr>
                <w:sz w:val="18"/>
                <w:szCs w:val="18"/>
              </w:rPr>
            </w:pPr>
            <w:r w:rsidRPr="00631C1B">
              <w:rPr>
                <w:sz w:val="18"/>
                <w:szCs w:val="18"/>
              </w:rPr>
              <w:t># participating in learning or training offered by Third Sector providers / Social Enterprises / Community Learning and Development</w:t>
            </w:r>
          </w:p>
        </w:tc>
        <w:tc>
          <w:tcPr>
            <w:tcW w:w="1944" w:type="dxa"/>
            <w:tcBorders>
              <w:left w:val="single" w:sz="4" w:space="0" w:color="000000" w:themeColor="text1"/>
              <w:right w:val="single" w:sz="4" w:space="0" w:color="000000" w:themeColor="text1"/>
            </w:tcBorders>
          </w:tcPr>
          <w:p w14:paraId="4641F7C2" w14:textId="71A72ACE"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6BCA9CF9" w14:textId="0D2E5FA5" w:rsidR="00FA5442" w:rsidRPr="00631C1B" w:rsidRDefault="00FA5442" w:rsidP="00FA5442">
            <w:pPr>
              <w:jc w:val="center"/>
              <w:rPr>
                <w:sz w:val="18"/>
                <w:szCs w:val="18"/>
              </w:rPr>
            </w:pPr>
            <w:r w:rsidRPr="00631C1B">
              <w:rPr>
                <w:sz w:val="18"/>
                <w:szCs w:val="18"/>
              </w:rPr>
              <w:t>102</w:t>
            </w:r>
          </w:p>
        </w:tc>
        <w:tc>
          <w:tcPr>
            <w:tcW w:w="3234" w:type="dxa"/>
            <w:tcBorders>
              <w:left w:val="single" w:sz="4" w:space="0" w:color="000000" w:themeColor="text1"/>
            </w:tcBorders>
            <w:vAlign w:val="bottom"/>
          </w:tcPr>
          <w:p w14:paraId="56F4F1F2" w14:textId="2D672089" w:rsidR="00FA5442" w:rsidRPr="00631C1B" w:rsidRDefault="00FA5442" w:rsidP="001C4F0D">
            <w:pPr>
              <w:jc w:val="center"/>
              <w:rPr>
                <w:rFonts w:cs="Arial"/>
                <w:sz w:val="18"/>
                <w:szCs w:val="18"/>
              </w:rPr>
            </w:pPr>
            <w:r w:rsidRPr="00631C1B">
              <w:rPr>
                <w:rFonts w:cs="Arial"/>
                <w:color w:val="000000"/>
                <w:sz w:val="18"/>
                <w:szCs w:val="18"/>
              </w:rPr>
              <w:t>0.7%</w:t>
            </w:r>
          </w:p>
        </w:tc>
      </w:tr>
      <w:tr w:rsidR="00FA5442" w:rsidRPr="00631C1B" w14:paraId="663EAEA9" w14:textId="77777777" w:rsidTr="00B92D1F">
        <w:trPr>
          <w:trHeight w:val="466"/>
        </w:trPr>
        <w:tc>
          <w:tcPr>
            <w:tcW w:w="6613" w:type="dxa"/>
            <w:tcBorders>
              <w:right w:val="single" w:sz="4" w:space="0" w:color="000000" w:themeColor="text1"/>
            </w:tcBorders>
          </w:tcPr>
          <w:p w14:paraId="30798C34" w14:textId="77777777" w:rsidR="00FA5442" w:rsidRPr="00631C1B" w:rsidRDefault="00FA5442" w:rsidP="00FA5442">
            <w:pPr>
              <w:rPr>
                <w:sz w:val="18"/>
                <w:szCs w:val="18"/>
              </w:rPr>
            </w:pPr>
            <w:r w:rsidRPr="00631C1B">
              <w:rPr>
                <w:sz w:val="18"/>
                <w:szCs w:val="18"/>
              </w:rPr>
              <w:t># volunteering work experience, where it is part of a recognised course or programme</w:t>
            </w:r>
          </w:p>
        </w:tc>
        <w:tc>
          <w:tcPr>
            <w:tcW w:w="1944" w:type="dxa"/>
            <w:tcBorders>
              <w:left w:val="single" w:sz="4" w:space="0" w:color="000000" w:themeColor="text1"/>
              <w:right w:val="single" w:sz="4" w:space="0" w:color="000000" w:themeColor="text1"/>
            </w:tcBorders>
          </w:tcPr>
          <w:p w14:paraId="420465E8" w14:textId="35222323"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shd w:val="clear" w:color="auto" w:fill="auto"/>
          </w:tcPr>
          <w:p w14:paraId="3DC645E8" w14:textId="7FB384E8" w:rsidR="00FA5442" w:rsidRPr="00631C1B" w:rsidRDefault="00FA5442" w:rsidP="00FA5442">
            <w:pPr>
              <w:jc w:val="center"/>
              <w:rPr>
                <w:sz w:val="18"/>
                <w:szCs w:val="18"/>
              </w:rPr>
            </w:pPr>
            <w:r w:rsidRPr="00631C1B">
              <w:rPr>
                <w:sz w:val="18"/>
                <w:szCs w:val="18"/>
              </w:rPr>
              <w:t>81</w:t>
            </w:r>
          </w:p>
        </w:tc>
        <w:tc>
          <w:tcPr>
            <w:tcW w:w="3234" w:type="dxa"/>
            <w:tcBorders>
              <w:left w:val="single" w:sz="4" w:space="0" w:color="000000" w:themeColor="text1"/>
            </w:tcBorders>
            <w:vAlign w:val="bottom"/>
          </w:tcPr>
          <w:p w14:paraId="7A7499D6" w14:textId="6857F88A" w:rsidR="00FA5442" w:rsidRPr="00631C1B" w:rsidRDefault="00FA5442" w:rsidP="001C4F0D">
            <w:pPr>
              <w:jc w:val="center"/>
              <w:rPr>
                <w:rFonts w:cs="Arial"/>
                <w:sz w:val="18"/>
                <w:szCs w:val="18"/>
              </w:rPr>
            </w:pPr>
            <w:r w:rsidRPr="00631C1B">
              <w:rPr>
                <w:rFonts w:cs="Arial"/>
                <w:color w:val="000000"/>
                <w:sz w:val="18"/>
                <w:szCs w:val="18"/>
              </w:rPr>
              <w:t>0.6%</w:t>
            </w:r>
          </w:p>
        </w:tc>
      </w:tr>
      <w:tr w:rsidR="00FA5442" w:rsidRPr="00631C1B" w14:paraId="20D8D526" w14:textId="77777777" w:rsidTr="00B92D1F">
        <w:trPr>
          <w:trHeight w:val="314"/>
        </w:trPr>
        <w:tc>
          <w:tcPr>
            <w:tcW w:w="6613" w:type="dxa"/>
            <w:tcBorders>
              <w:right w:val="single" w:sz="4" w:space="0" w:color="000000" w:themeColor="text1"/>
            </w:tcBorders>
          </w:tcPr>
          <w:p w14:paraId="0DBF766B" w14:textId="77777777" w:rsidR="00FA5442" w:rsidRPr="00631C1B" w:rsidRDefault="00FA5442" w:rsidP="00FA5442">
            <w:pPr>
              <w:rPr>
                <w:sz w:val="18"/>
                <w:szCs w:val="18"/>
              </w:rPr>
            </w:pPr>
            <w:r w:rsidRPr="00631C1B">
              <w:rPr>
                <w:sz w:val="18"/>
                <w:szCs w:val="18"/>
              </w:rPr>
              <w:t># engaged with Community Jobs Scotland</w:t>
            </w:r>
          </w:p>
        </w:tc>
        <w:tc>
          <w:tcPr>
            <w:tcW w:w="1944" w:type="dxa"/>
            <w:tcBorders>
              <w:left w:val="single" w:sz="4" w:space="0" w:color="000000" w:themeColor="text1"/>
              <w:right w:val="single" w:sz="4" w:space="0" w:color="000000" w:themeColor="text1"/>
            </w:tcBorders>
          </w:tcPr>
          <w:p w14:paraId="052EA55D" w14:textId="79AACAC1"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shd w:val="clear" w:color="auto" w:fill="auto"/>
          </w:tcPr>
          <w:p w14:paraId="698AA6FE" w14:textId="600E6DFF" w:rsidR="00FA5442" w:rsidRPr="00631C1B" w:rsidRDefault="00FA5442" w:rsidP="00FA5442">
            <w:pPr>
              <w:jc w:val="center"/>
              <w:rPr>
                <w:sz w:val="18"/>
                <w:szCs w:val="18"/>
              </w:rPr>
            </w:pPr>
            <w:r w:rsidRPr="00631C1B">
              <w:rPr>
                <w:sz w:val="18"/>
                <w:szCs w:val="18"/>
              </w:rPr>
              <w:t>2</w:t>
            </w:r>
          </w:p>
        </w:tc>
        <w:tc>
          <w:tcPr>
            <w:tcW w:w="3234" w:type="dxa"/>
            <w:tcBorders>
              <w:left w:val="single" w:sz="4" w:space="0" w:color="000000" w:themeColor="text1"/>
            </w:tcBorders>
            <w:vAlign w:val="bottom"/>
          </w:tcPr>
          <w:p w14:paraId="07353FAF" w14:textId="11E6BEFF" w:rsidR="00FA5442" w:rsidRPr="00631C1B" w:rsidRDefault="00FA5442" w:rsidP="001C4F0D">
            <w:pPr>
              <w:jc w:val="center"/>
              <w:rPr>
                <w:rFonts w:cs="Arial"/>
                <w:sz w:val="18"/>
                <w:szCs w:val="18"/>
              </w:rPr>
            </w:pPr>
            <w:r w:rsidRPr="00631C1B">
              <w:rPr>
                <w:rFonts w:cs="Arial"/>
                <w:color w:val="000000"/>
                <w:sz w:val="18"/>
                <w:szCs w:val="18"/>
              </w:rPr>
              <w:t>0.0%</w:t>
            </w:r>
          </w:p>
        </w:tc>
      </w:tr>
      <w:tr w:rsidR="00FA5442" w:rsidRPr="00631C1B" w14:paraId="6FDDE2AD" w14:textId="77777777" w:rsidTr="00B92D1F">
        <w:trPr>
          <w:trHeight w:val="305"/>
        </w:trPr>
        <w:tc>
          <w:tcPr>
            <w:tcW w:w="6613" w:type="dxa"/>
            <w:tcBorders>
              <w:right w:val="single" w:sz="4" w:space="0" w:color="000000" w:themeColor="text1"/>
            </w:tcBorders>
          </w:tcPr>
          <w:p w14:paraId="3975CB9A" w14:textId="77777777" w:rsidR="00FA5442" w:rsidRPr="00631C1B" w:rsidRDefault="00FA5442" w:rsidP="00FA5442">
            <w:pPr>
              <w:rPr>
                <w:sz w:val="18"/>
                <w:szCs w:val="18"/>
              </w:rPr>
            </w:pPr>
            <w:r w:rsidRPr="00631C1B">
              <w:rPr>
                <w:sz w:val="18"/>
                <w:szCs w:val="18"/>
              </w:rPr>
              <w:t># being employed / a Modern Apprenticeship</w:t>
            </w:r>
          </w:p>
        </w:tc>
        <w:tc>
          <w:tcPr>
            <w:tcW w:w="1944" w:type="dxa"/>
            <w:tcBorders>
              <w:left w:val="single" w:sz="4" w:space="0" w:color="000000" w:themeColor="text1"/>
              <w:right w:val="single" w:sz="4" w:space="0" w:color="000000" w:themeColor="text1"/>
            </w:tcBorders>
          </w:tcPr>
          <w:p w14:paraId="7710A0A5" w14:textId="28315489" w:rsidR="00FA5442" w:rsidRPr="00631C1B" w:rsidRDefault="00FA5442" w:rsidP="00FA5442">
            <w:pPr>
              <w:jc w:val="center"/>
              <w:rPr>
                <w:sz w:val="18"/>
                <w:szCs w:val="18"/>
              </w:rPr>
            </w:pPr>
            <w:r w:rsidRPr="00631C1B">
              <w:rPr>
                <w:sz w:val="18"/>
                <w:szCs w:val="18"/>
              </w:rPr>
              <w:t>-</w:t>
            </w:r>
          </w:p>
        </w:tc>
        <w:tc>
          <w:tcPr>
            <w:tcW w:w="2012" w:type="dxa"/>
            <w:tcBorders>
              <w:left w:val="single" w:sz="4" w:space="0" w:color="000000" w:themeColor="text1"/>
              <w:right w:val="single" w:sz="4" w:space="0" w:color="000000" w:themeColor="text1"/>
            </w:tcBorders>
          </w:tcPr>
          <w:p w14:paraId="53EFC1A4" w14:textId="63AA289C" w:rsidR="00FA5442" w:rsidRPr="00631C1B" w:rsidRDefault="00FA5442" w:rsidP="00FA5442">
            <w:pPr>
              <w:jc w:val="center"/>
              <w:rPr>
                <w:sz w:val="18"/>
                <w:szCs w:val="18"/>
              </w:rPr>
            </w:pPr>
            <w:r w:rsidRPr="00631C1B">
              <w:rPr>
                <w:sz w:val="18"/>
                <w:szCs w:val="18"/>
              </w:rPr>
              <w:t>144</w:t>
            </w:r>
          </w:p>
        </w:tc>
        <w:tc>
          <w:tcPr>
            <w:tcW w:w="3234" w:type="dxa"/>
            <w:tcBorders>
              <w:left w:val="single" w:sz="4" w:space="0" w:color="000000" w:themeColor="text1"/>
            </w:tcBorders>
            <w:vAlign w:val="bottom"/>
          </w:tcPr>
          <w:p w14:paraId="2FE49967" w14:textId="5C39EF96" w:rsidR="00FA5442" w:rsidRPr="00631C1B" w:rsidRDefault="00FA5442" w:rsidP="001C4F0D">
            <w:pPr>
              <w:jc w:val="center"/>
              <w:rPr>
                <w:rFonts w:cs="Arial"/>
                <w:sz w:val="18"/>
                <w:szCs w:val="18"/>
              </w:rPr>
            </w:pPr>
            <w:r w:rsidRPr="00631C1B">
              <w:rPr>
                <w:rFonts w:cs="Arial"/>
                <w:color w:val="000000"/>
                <w:sz w:val="18"/>
                <w:szCs w:val="18"/>
              </w:rPr>
              <w:t>1.0%</w:t>
            </w:r>
          </w:p>
        </w:tc>
      </w:tr>
      <w:tr w:rsidR="0043749D" w:rsidRPr="00631C1B" w14:paraId="62B4EBCA" w14:textId="77777777" w:rsidTr="00B92D1F">
        <w:trPr>
          <w:trHeight w:val="152"/>
        </w:trPr>
        <w:tc>
          <w:tcPr>
            <w:tcW w:w="6613" w:type="dxa"/>
            <w:tcBorders>
              <w:bottom w:val="nil"/>
              <w:right w:val="single" w:sz="4" w:space="0" w:color="000000" w:themeColor="text1"/>
            </w:tcBorders>
          </w:tcPr>
          <w:p w14:paraId="2E4DF405" w14:textId="77777777" w:rsidR="0043749D" w:rsidRPr="00631C1B" w:rsidRDefault="0043749D" w:rsidP="009A3F2B">
            <w:pPr>
              <w:rPr>
                <w:sz w:val="18"/>
                <w:szCs w:val="18"/>
              </w:rPr>
            </w:pPr>
            <w:r w:rsidRPr="00631C1B">
              <w:rPr>
                <w:sz w:val="18"/>
                <w:szCs w:val="18"/>
              </w:rPr>
              <w:t>Total</w:t>
            </w:r>
          </w:p>
        </w:tc>
        <w:tc>
          <w:tcPr>
            <w:tcW w:w="1944" w:type="dxa"/>
            <w:tcBorders>
              <w:left w:val="single" w:sz="4" w:space="0" w:color="000000" w:themeColor="text1"/>
              <w:bottom w:val="nil"/>
              <w:right w:val="single" w:sz="4" w:space="0" w:color="000000" w:themeColor="text1"/>
            </w:tcBorders>
          </w:tcPr>
          <w:p w14:paraId="7F973051" w14:textId="71552203" w:rsidR="0043749D" w:rsidRPr="00631C1B" w:rsidRDefault="00A11861" w:rsidP="009A3F2B">
            <w:pPr>
              <w:jc w:val="center"/>
              <w:rPr>
                <w:b/>
                <w:bCs/>
                <w:sz w:val="18"/>
                <w:szCs w:val="18"/>
              </w:rPr>
            </w:pPr>
            <w:r w:rsidRPr="00631C1B">
              <w:rPr>
                <w:b/>
                <w:bCs/>
                <w:sz w:val="18"/>
                <w:szCs w:val="18"/>
              </w:rPr>
              <w:t>3,200</w:t>
            </w:r>
          </w:p>
        </w:tc>
        <w:tc>
          <w:tcPr>
            <w:tcW w:w="2012" w:type="dxa"/>
            <w:tcBorders>
              <w:left w:val="single" w:sz="4" w:space="0" w:color="000000" w:themeColor="text1"/>
              <w:bottom w:val="nil"/>
              <w:right w:val="single" w:sz="4" w:space="0" w:color="000000" w:themeColor="text1"/>
            </w:tcBorders>
          </w:tcPr>
          <w:p w14:paraId="66257EB9" w14:textId="06F8EED2" w:rsidR="0043749D" w:rsidRPr="00631C1B" w:rsidRDefault="0043749D" w:rsidP="009A3F2B">
            <w:pPr>
              <w:jc w:val="center"/>
              <w:rPr>
                <w:b/>
                <w:bCs/>
                <w:sz w:val="18"/>
                <w:szCs w:val="18"/>
              </w:rPr>
            </w:pPr>
          </w:p>
        </w:tc>
        <w:tc>
          <w:tcPr>
            <w:tcW w:w="3234" w:type="dxa"/>
            <w:tcBorders>
              <w:left w:val="single" w:sz="4" w:space="0" w:color="000000" w:themeColor="text1"/>
            </w:tcBorders>
          </w:tcPr>
          <w:p w14:paraId="477B5D3E" w14:textId="0F600E4A" w:rsidR="0043749D" w:rsidRPr="00631C1B" w:rsidRDefault="0043749D" w:rsidP="001C4F0D">
            <w:pPr>
              <w:jc w:val="center"/>
              <w:rPr>
                <w:b/>
                <w:bCs/>
                <w:sz w:val="18"/>
                <w:szCs w:val="18"/>
              </w:rPr>
            </w:pPr>
          </w:p>
        </w:tc>
      </w:tr>
    </w:tbl>
    <w:p w14:paraId="4172C0CF" w14:textId="77777777" w:rsidR="00B92D1F" w:rsidRPr="00631C1B" w:rsidRDefault="00B92D1F" w:rsidP="0043749D">
      <w:pPr>
        <w:pStyle w:val="Source"/>
        <w:sectPr w:rsidR="00B92D1F" w:rsidRPr="00631C1B" w:rsidSect="00B92D1F">
          <w:type w:val="continuous"/>
          <w:pgSz w:w="16838" w:h="11906" w:orient="landscape"/>
          <w:pgMar w:top="1440" w:right="964" w:bottom="1440" w:left="964" w:header="709" w:footer="709" w:gutter="0"/>
          <w:cols w:space="708"/>
          <w:docGrid w:linePitch="360"/>
        </w:sectPr>
      </w:pPr>
    </w:p>
    <w:p w14:paraId="51C67D2C" w14:textId="3AA40579" w:rsidR="0043749D" w:rsidRPr="00631C1B" w:rsidRDefault="0043749D" w:rsidP="0043749D">
      <w:pPr>
        <w:pStyle w:val="Source"/>
      </w:pPr>
      <w:r w:rsidRPr="00631C1B">
        <w:t>Source: Creative Scotland / BOP Consulting (20</w:t>
      </w:r>
      <w:r w:rsidR="00AA5D6B" w:rsidRPr="00631C1B">
        <w:t>20</w:t>
      </w:r>
      <w:r w:rsidRPr="00631C1B">
        <w:t>)</w:t>
      </w:r>
    </w:p>
    <w:p w14:paraId="22C21638" w14:textId="77777777" w:rsidR="00463276" w:rsidRPr="00631C1B" w:rsidRDefault="00463276" w:rsidP="00463276">
      <w:pPr>
        <w:pStyle w:val="BodyText"/>
      </w:pPr>
    </w:p>
    <w:p w14:paraId="1585E2EA" w14:textId="19995659" w:rsidR="006044C2" w:rsidRPr="00631C1B" w:rsidRDefault="006044C2" w:rsidP="000A3C27">
      <w:pPr>
        <w:pStyle w:val="ListBullet"/>
      </w:pPr>
      <w:r w:rsidRPr="00631C1B">
        <w:br w:type="page"/>
      </w:r>
    </w:p>
    <w:p w14:paraId="79C6DD11" w14:textId="2E693794" w:rsidR="00BD2E41" w:rsidRPr="00631C1B" w:rsidRDefault="00FE6DDF" w:rsidP="00BD2E41">
      <w:pPr>
        <w:pStyle w:val="Heading1"/>
      </w:pPr>
      <w:bookmarkStart w:id="43" w:name="_Toc43980026"/>
      <w:r w:rsidRPr="00631C1B">
        <w:lastRenderedPageBreak/>
        <w:t>Participating in positive activity</w:t>
      </w:r>
      <w:bookmarkEnd w:id="43"/>
    </w:p>
    <w:p w14:paraId="229F703F" w14:textId="210EA7F0" w:rsidR="001855A6" w:rsidRPr="00631C1B" w:rsidRDefault="005158DC" w:rsidP="00525E90">
      <w:pPr>
        <w:pStyle w:val="BodyText"/>
      </w:pPr>
      <w:r w:rsidRPr="00631C1B">
        <w:t xml:space="preserve">One of the key elements of the </w:t>
      </w:r>
      <w:proofErr w:type="spellStart"/>
      <w:r w:rsidR="00281FAF" w:rsidRPr="00631C1B">
        <w:t>CashBack</w:t>
      </w:r>
      <w:proofErr w:type="spellEnd"/>
      <w:r w:rsidRPr="00631C1B">
        <w:t xml:space="preserve"> for Creativity fund is to enable young people who are less likely to have the opportunity</w:t>
      </w:r>
      <w:r w:rsidR="007328D3" w:rsidRPr="00631C1B">
        <w:t xml:space="preserve"> to</w:t>
      </w:r>
      <w:r w:rsidRPr="00631C1B">
        <w:t xml:space="preserve"> engage</w:t>
      </w:r>
      <w:r w:rsidR="001855A6" w:rsidRPr="00631C1B">
        <w:t>, as well as s</w:t>
      </w:r>
      <w:r w:rsidRPr="00631C1B">
        <w:t xml:space="preserve">ustain their engagement in, positive activities. </w:t>
      </w:r>
    </w:p>
    <w:p w14:paraId="0BD57169" w14:textId="77777777" w:rsidR="001855A6" w:rsidRPr="00631C1B" w:rsidRDefault="001855A6" w:rsidP="00525E90">
      <w:pPr>
        <w:pStyle w:val="BodyText"/>
      </w:pPr>
      <w:r w:rsidRPr="00631C1B">
        <w:t>Positive activity relates</w:t>
      </w:r>
      <w:r w:rsidR="005158DC" w:rsidRPr="00631C1B">
        <w:t xml:space="preserve"> to providing access opportunities as a fundamental right for all children and young people in Scotland, particularly those with le</w:t>
      </w:r>
      <w:r w:rsidR="005B1709" w:rsidRPr="00631C1B">
        <w:t>ss</w:t>
      </w:r>
      <w:r w:rsidR="005158DC" w:rsidRPr="00631C1B">
        <w:t xml:space="preserve"> access to cultural and creative resources. </w:t>
      </w:r>
    </w:p>
    <w:p w14:paraId="3D58B683" w14:textId="1D6376E8" w:rsidR="00525E90" w:rsidRPr="00631C1B" w:rsidRDefault="005158DC" w:rsidP="00525E90">
      <w:pPr>
        <w:pStyle w:val="BodyText"/>
      </w:pPr>
      <w:r w:rsidRPr="00631C1B">
        <w:t xml:space="preserve">It is important to consider the total numbers of participants taking part in something new and sustaining their participation, before progress is measured in relation to developmental outcomes or progression pathways. </w:t>
      </w:r>
    </w:p>
    <w:p w14:paraId="470415A2" w14:textId="340B4AAF" w:rsidR="00BD2E41" w:rsidRPr="00631C1B" w:rsidRDefault="00BD2E41" w:rsidP="00BD2E41">
      <w:pPr>
        <w:pStyle w:val="Subheadingnonumber"/>
      </w:pPr>
      <w:r w:rsidRPr="00631C1B">
        <w:t>Key findings</w:t>
      </w:r>
      <w:r w:rsidR="00D9228C" w:rsidRPr="00631C1B">
        <w:t xml:space="preserve"> for Year 3</w:t>
      </w:r>
    </w:p>
    <w:p w14:paraId="68FA2D6A" w14:textId="24083CAE" w:rsidR="00BD2E41" w:rsidRPr="00631C1B" w:rsidRDefault="00BD2E41" w:rsidP="00BD2E41">
      <w:pPr>
        <w:pStyle w:val="BodyText"/>
        <w:rPr>
          <w:b/>
        </w:rPr>
      </w:pPr>
      <w:r w:rsidRPr="00631C1B">
        <w:rPr>
          <w:b/>
        </w:rPr>
        <w:t xml:space="preserve">Targeted </w:t>
      </w:r>
      <w:r w:rsidR="00867C7A" w:rsidRPr="00631C1B">
        <w:rPr>
          <w:b/>
        </w:rPr>
        <w:t>F</w:t>
      </w:r>
      <w:r w:rsidRPr="00631C1B">
        <w:rPr>
          <w:b/>
        </w:rPr>
        <w:t>und</w:t>
      </w:r>
    </w:p>
    <w:p w14:paraId="538D93CC" w14:textId="67221907" w:rsidR="00445AEB" w:rsidRPr="00631C1B" w:rsidRDefault="00445AEB" w:rsidP="00C03BF5">
      <w:pPr>
        <w:pStyle w:val="ListBullet"/>
      </w:pPr>
      <w:r w:rsidRPr="00631C1B">
        <w:t xml:space="preserve">Of </w:t>
      </w:r>
      <w:r w:rsidR="0090468D" w:rsidRPr="00631C1B">
        <w:t xml:space="preserve">the </w:t>
      </w:r>
      <w:r w:rsidRPr="00631C1B">
        <w:t>data available</w:t>
      </w:r>
      <w:r w:rsidR="00BA00F8" w:rsidRPr="00631C1B">
        <w:t xml:space="preserve"> for Year 3</w:t>
      </w:r>
      <w:r w:rsidRPr="00631C1B">
        <w:t>, in general</w:t>
      </w:r>
      <w:r w:rsidR="00C90668" w:rsidRPr="00631C1B">
        <w:t xml:space="preserve"> Targeted Fund projects</w:t>
      </w:r>
      <w:r w:rsidRPr="00631C1B">
        <w:t xml:space="preserve"> surpassed </w:t>
      </w:r>
      <w:r w:rsidR="00C90668" w:rsidRPr="00631C1B">
        <w:t xml:space="preserve">their </w:t>
      </w:r>
      <w:r w:rsidRPr="00631C1B">
        <w:t>target</w:t>
      </w:r>
      <w:r w:rsidR="00795AD2" w:rsidRPr="00631C1B">
        <w:t xml:space="preserve"> for, those who were new to t</w:t>
      </w:r>
      <w:r w:rsidR="00C03BF5" w:rsidRPr="00631C1B">
        <w:t xml:space="preserve">he </w:t>
      </w:r>
      <w:r w:rsidR="00795AD2" w:rsidRPr="00631C1B">
        <w:t>type of activity</w:t>
      </w:r>
      <w:r w:rsidR="00C03BF5" w:rsidRPr="00631C1B">
        <w:t>, and</w:t>
      </w:r>
      <w:r w:rsidR="00BA00F8" w:rsidRPr="00631C1B">
        <w:t xml:space="preserve"> successfully </w:t>
      </w:r>
      <w:r w:rsidR="00C03BF5" w:rsidRPr="00631C1B">
        <w:t>encourag</w:t>
      </w:r>
      <w:r w:rsidR="00BA00F8" w:rsidRPr="00631C1B">
        <w:t xml:space="preserve">ed </w:t>
      </w:r>
      <w:r w:rsidR="00795AD2" w:rsidRPr="00631C1B">
        <w:t>sustain</w:t>
      </w:r>
      <w:r w:rsidR="00C03BF5" w:rsidRPr="00631C1B">
        <w:t xml:space="preserve">ed </w:t>
      </w:r>
      <w:r w:rsidR="00795AD2" w:rsidRPr="00631C1B">
        <w:t>participation</w:t>
      </w:r>
    </w:p>
    <w:p w14:paraId="13999184" w14:textId="521E2FDE" w:rsidR="00C03BF5" w:rsidRPr="00631C1B" w:rsidRDefault="00C03BF5" w:rsidP="00C03BF5">
      <w:pPr>
        <w:pStyle w:val="ListBullet"/>
      </w:pPr>
      <w:r w:rsidRPr="00631C1B">
        <w:t xml:space="preserve">The ease of accessibility meant </w:t>
      </w:r>
      <w:r w:rsidR="00405EF7" w:rsidRPr="00631C1B">
        <w:t>thousands of young people</w:t>
      </w:r>
      <w:r w:rsidRPr="00631C1B">
        <w:t xml:space="preserve"> benefitted from positive activity, which they would not have otherwise (e.g. due to financial constraints </w:t>
      </w:r>
      <w:r w:rsidR="003D0E96" w:rsidRPr="00631C1B">
        <w:t>or other barriers</w:t>
      </w:r>
      <w:r w:rsidRPr="00631C1B">
        <w:t>). In this sense, the focus of Phase 4 on specific target groups and particularly those living in the most deprived areas has been a positive development</w:t>
      </w:r>
    </w:p>
    <w:p w14:paraId="2D8A4D6B" w14:textId="6B1F445E" w:rsidR="003669D9" w:rsidRPr="00631C1B" w:rsidRDefault="0095210E" w:rsidP="009A3F2B">
      <w:pPr>
        <w:pStyle w:val="ListBullet"/>
      </w:pPr>
      <w:r w:rsidRPr="00631C1B">
        <w:t xml:space="preserve">Many projects had success in retaining participants over the </w:t>
      </w:r>
      <w:r w:rsidR="00C419D7" w:rsidRPr="00631C1B">
        <w:t>long-term</w:t>
      </w:r>
      <w:r w:rsidRPr="00631C1B">
        <w:t xml:space="preserve"> and reported that positive and trusting relationships between </w:t>
      </w:r>
      <w:r w:rsidR="00185B32" w:rsidRPr="00631C1B">
        <w:t xml:space="preserve">the organisation, tutors </w:t>
      </w:r>
      <w:r w:rsidRPr="00631C1B">
        <w:t>and young people</w:t>
      </w:r>
      <w:r w:rsidR="00D35204" w:rsidRPr="00631C1B">
        <w:t xml:space="preserve">, </w:t>
      </w:r>
      <w:r w:rsidR="00C150A7" w:rsidRPr="00631C1B">
        <w:t>were</w:t>
      </w:r>
      <w:r w:rsidRPr="00631C1B">
        <w:t xml:space="preserve"> core to sustained participation</w:t>
      </w:r>
      <w:r w:rsidR="00C7145B" w:rsidRPr="00631C1B">
        <w:t xml:space="preserve">. </w:t>
      </w:r>
      <w:r w:rsidR="003669D9" w:rsidRPr="00631C1B">
        <w:t>This allow</w:t>
      </w:r>
      <w:r w:rsidR="00C7145B" w:rsidRPr="00631C1B">
        <w:t>ed</w:t>
      </w:r>
      <w:r w:rsidR="003669D9" w:rsidRPr="00631C1B">
        <w:t xml:space="preserve"> the young people to self-define their relationship with the project, and often get involved in one part of the project, </w:t>
      </w:r>
      <w:r w:rsidR="00C7145B" w:rsidRPr="00631C1B">
        <w:t>c</w:t>
      </w:r>
      <w:r w:rsidR="003669D9" w:rsidRPr="00631C1B">
        <w:t xml:space="preserve">onnect with the art and other young people, </w:t>
      </w:r>
      <w:r w:rsidR="00C7145B" w:rsidRPr="00631C1B">
        <w:t>before getting</w:t>
      </w:r>
      <w:r w:rsidR="003669D9" w:rsidRPr="00631C1B">
        <w:t xml:space="preserve"> drawn into other engagements</w:t>
      </w:r>
    </w:p>
    <w:p w14:paraId="6B870FC0" w14:textId="72BD3C01" w:rsidR="00C419D7" w:rsidRPr="00631C1B" w:rsidRDefault="004D0D08" w:rsidP="009A3F2B">
      <w:pPr>
        <w:pStyle w:val="ListBullet"/>
      </w:pPr>
      <w:r w:rsidRPr="00631C1B">
        <w:t>Several projects spoke of a n</w:t>
      </w:r>
      <w:r w:rsidR="00445AEB" w:rsidRPr="00631C1B">
        <w:t xml:space="preserve">eed for a balance of different kinds of activity to attract </w:t>
      </w:r>
      <w:r w:rsidRPr="00631C1B">
        <w:t>and</w:t>
      </w:r>
      <w:r w:rsidR="00445AEB" w:rsidRPr="00631C1B">
        <w:t xml:space="preserve"> sustain participation</w:t>
      </w:r>
      <w:r w:rsidRPr="00631C1B">
        <w:t xml:space="preserve">, such as </w:t>
      </w:r>
      <w:r w:rsidR="00445AEB" w:rsidRPr="00631C1B">
        <w:t xml:space="preserve">taster sessions in groups, </w:t>
      </w:r>
      <w:r w:rsidRPr="00631C1B">
        <w:t xml:space="preserve">as well as </w:t>
      </w:r>
      <w:r w:rsidR="00445AEB" w:rsidRPr="00631C1B">
        <w:t>work drop-in</w:t>
      </w:r>
      <w:r w:rsidRPr="00631C1B">
        <w:t xml:space="preserve"> sessions.</w:t>
      </w:r>
    </w:p>
    <w:p w14:paraId="37741E6E" w14:textId="6E34A70C" w:rsidR="00C419D7" w:rsidRPr="00631C1B" w:rsidRDefault="00C419D7" w:rsidP="009A3F2B">
      <w:pPr>
        <w:pStyle w:val="Quotesmall"/>
      </w:pPr>
      <w:r w:rsidRPr="00631C1B">
        <w:tab/>
      </w:r>
      <w:r w:rsidRPr="00631C1B">
        <w:rPr>
          <w:noProof/>
          <w:lang w:eastAsia="en-GB"/>
        </w:rPr>
        <w:drawing>
          <wp:inline distT="0" distB="0" distL="0" distR="0" wp14:anchorId="7CC0282A" wp14:editId="72D1DB06">
            <wp:extent cx="197640" cy="156960"/>
            <wp:effectExtent l="0" t="0" r="0" b="0"/>
            <wp:docPr id="2035658496" name="Picture 2035658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2">
                      <a:extLst>
                        <a:ext uri="{28A0092B-C50C-407E-A947-70E740481C1C}">
                          <a14:useLocalDpi xmlns:a14="http://schemas.microsoft.com/office/drawing/2010/main" val="0"/>
                        </a:ext>
                      </a:extLst>
                    </a:blip>
                    <a:srcRect t="1" r="94193" b="74950"/>
                    <a:stretch/>
                  </pic:blipFill>
                  <pic:spPr bwMode="auto">
                    <a:xfrm>
                      <a:off x="0" y="0"/>
                      <a:ext cx="197640" cy="156960"/>
                    </a:xfrm>
                    <a:prstGeom prst="rect">
                      <a:avLst/>
                    </a:prstGeom>
                    <a:noFill/>
                    <a:ln>
                      <a:noFill/>
                    </a:ln>
                    <a:extLst>
                      <a:ext uri="{53640926-AAD7-44D8-BBD7-CCE9431645EC}">
                        <a14:shadowObscured xmlns:a14="http://schemas.microsoft.com/office/drawing/2010/main"/>
                      </a:ext>
                    </a:extLst>
                  </pic:spPr>
                </pic:pic>
              </a:graphicData>
            </a:graphic>
          </wp:inline>
        </w:drawing>
      </w:r>
      <w:r w:rsidRPr="00631C1B">
        <w:tab/>
        <w:t xml:space="preserve">My experience at </w:t>
      </w:r>
      <w:proofErr w:type="spellStart"/>
      <w:r w:rsidRPr="00631C1B">
        <w:t>YDance</w:t>
      </w:r>
      <w:proofErr w:type="spellEnd"/>
      <w:r w:rsidRPr="00631C1B">
        <w:t xml:space="preserve"> has </w:t>
      </w:r>
      <w:proofErr w:type="gramStart"/>
      <w:r w:rsidRPr="00631C1B">
        <w:t>definitely changed</w:t>
      </w:r>
      <w:proofErr w:type="gramEnd"/>
      <w:r w:rsidRPr="00631C1B">
        <w:t xml:space="preserve"> me and my positivity towards myself. I always look forward to attending and seeing the group each week knowing that there’s nothing to be intimidated by and that everyone will support each other.</w:t>
      </w:r>
    </w:p>
    <w:p w14:paraId="4FE6385E" w14:textId="77777777" w:rsidR="00C419D7" w:rsidRPr="00631C1B" w:rsidRDefault="00C419D7" w:rsidP="00EB1C5B">
      <w:pPr>
        <w:pStyle w:val="ListParagraph"/>
        <w:numPr>
          <w:ilvl w:val="0"/>
          <w:numId w:val="5"/>
        </w:numPr>
        <w:jc w:val="right"/>
        <w:rPr>
          <w:iCs/>
          <w:color w:val="3C5896" w:themeColor="accent1"/>
          <w:sz w:val="21"/>
        </w:rPr>
      </w:pPr>
      <w:r w:rsidRPr="00631C1B">
        <w:rPr>
          <w:iCs/>
          <w:color w:val="3C5896" w:themeColor="accent1"/>
          <w:sz w:val="21"/>
        </w:rPr>
        <w:t xml:space="preserve">Participant from North Ayrshire, </w:t>
      </w:r>
      <w:proofErr w:type="spellStart"/>
      <w:r w:rsidRPr="00631C1B">
        <w:rPr>
          <w:iCs/>
          <w:color w:val="3C5896" w:themeColor="accent1"/>
          <w:sz w:val="21"/>
        </w:rPr>
        <w:t>YDance</w:t>
      </w:r>
      <w:proofErr w:type="spellEnd"/>
      <w:r w:rsidRPr="00631C1B">
        <w:rPr>
          <w:iCs/>
          <w:color w:val="3C5896" w:themeColor="accent1"/>
          <w:sz w:val="21"/>
        </w:rPr>
        <w:t xml:space="preserve"> (Targeted Fund)</w:t>
      </w:r>
    </w:p>
    <w:p w14:paraId="17F40A0C" w14:textId="627B40BA" w:rsidR="008E5B14" w:rsidRPr="00631C1B" w:rsidRDefault="008E5B14" w:rsidP="00D55BDF">
      <w:pPr>
        <w:pStyle w:val="ListParagraph"/>
        <w:ind w:left="284" w:hanging="284"/>
        <w:jc w:val="right"/>
        <w:rPr>
          <w:b/>
          <w:bCs/>
        </w:rPr>
      </w:pPr>
    </w:p>
    <w:p w14:paraId="6072D90F" w14:textId="540FB8F9" w:rsidR="00BD2E41" w:rsidRPr="00631C1B" w:rsidRDefault="00BD2E41" w:rsidP="00525E90">
      <w:pPr>
        <w:pStyle w:val="BodyText"/>
        <w:rPr>
          <w:b/>
        </w:rPr>
      </w:pPr>
      <w:r w:rsidRPr="00631C1B">
        <w:rPr>
          <w:b/>
        </w:rPr>
        <w:t>Open Fund</w:t>
      </w:r>
    </w:p>
    <w:p w14:paraId="16158783" w14:textId="56E1C944" w:rsidR="00912AD6" w:rsidRPr="00631C1B" w:rsidRDefault="2A1DFB4F" w:rsidP="00EE0E5B">
      <w:pPr>
        <w:pStyle w:val="ListBullet"/>
      </w:pPr>
      <w:r w:rsidRPr="00631C1B">
        <w:t xml:space="preserve">Activities gave </w:t>
      </w:r>
      <w:r w:rsidR="00054760" w:rsidRPr="00631C1B">
        <w:t xml:space="preserve">participants </w:t>
      </w:r>
      <w:r w:rsidRPr="00631C1B">
        <w:t xml:space="preserve">focus and direction, providing </w:t>
      </w:r>
      <w:r w:rsidR="00054760" w:rsidRPr="00631C1B">
        <w:t xml:space="preserve">a project and task that they </w:t>
      </w:r>
      <w:r w:rsidRPr="00631C1B">
        <w:t xml:space="preserve">could come back to work on and improve </w:t>
      </w:r>
    </w:p>
    <w:p w14:paraId="154366D8" w14:textId="05300D44" w:rsidR="00F70187" w:rsidRPr="00631C1B" w:rsidRDefault="00F70187" w:rsidP="003B6BD5">
      <w:pPr>
        <w:pStyle w:val="ListBullet"/>
      </w:pPr>
      <w:r w:rsidRPr="00631C1B">
        <w:t xml:space="preserve">For participants </w:t>
      </w:r>
      <w:r w:rsidR="00360722" w:rsidRPr="00631C1B">
        <w:t xml:space="preserve">with </w:t>
      </w:r>
      <w:r w:rsidRPr="00631C1B">
        <w:t xml:space="preserve">learning difficulties, creative practices </w:t>
      </w:r>
      <w:r w:rsidR="00C11723" w:rsidRPr="00631C1B">
        <w:t>were</w:t>
      </w:r>
      <w:r w:rsidRPr="00631C1B">
        <w:t xml:space="preserve"> seen to have a range of positive effects. For example, participants of the D&amp;G Innovation Project were supported in their transition from school into </w:t>
      </w:r>
      <w:r w:rsidR="00C11723" w:rsidRPr="00631C1B">
        <w:t xml:space="preserve">young </w:t>
      </w:r>
      <w:r w:rsidRPr="00631C1B">
        <w:t>adult life, empowered by a peer-to-peer network</w:t>
      </w:r>
      <w:r w:rsidR="00C11723" w:rsidRPr="00631C1B">
        <w:t>,</w:t>
      </w:r>
      <w:r w:rsidRPr="00631C1B">
        <w:t xml:space="preserve"> where friendships can grow in a supportive environment</w:t>
      </w:r>
    </w:p>
    <w:p w14:paraId="5037BBA8" w14:textId="349A0F22" w:rsidR="002E070A" w:rsidRPr="00631C1B" w:rsidRDefault="002E070A" w:rsidP="003B6BD5">
      <w:pPr>
        <w:pStyle w:val="ListBullet"/>
      </w:pPr>
      <w:r w:rsidRPr="00631C1B">
        <w:t xml:space="preserve">Open Fund projects also reported that it was important to establish the correct level of challenge for participants for them to have a positive experience and sustain participation. </w:t>
      </w:r>
      <w:r w:rsidR="00E0026D" w:rsidRPr="00631C1B">
        <w:t>Many participants hadn’t realised that creative work would be challenging in the way they expected (e.g. when compared to more traditionally ‘academic’ subjects).</w:t>
      </w:r>
    </w:p>
    <w:p w14:paraId="29D6B38B" w14:textId="027B9A59" w:rsidR="008E5B14" w:rsidRPr="00631C1B" w:rsidRDefault="008E5B14" w:rsidP="00525E90">
      <w:pPr>
        <w:pStyle w:val="BodyText"/>
      </w:pPr>
    </w:p>
    <w:p w14:paraId="5A8BAB50" w14:textId="0F3829BC" w:rsidR="00D9228C" w:rsidRPr="00631C1B" w:rsidRDefault="00D9228C" w:rsidP="00D9228C">
      <w:pPr>
        <w:pStyle w:val="Subheadingnonumber"/>
      </w:pPr>
      <w:r w:rsidRPr="00631C1B">
        <w:t xml:space="preserve">Key findings for Targeted Fund </w:t>
      </w:r>
      <w:r w:rsidR="00867C7A" w:rsidRPr="00631C1B">
        <w:t>across all years</w:t>
      </w:r>
    </w:p>
    <w:p w14:paraId="65BD17F7" w14:textId="07B2C8BB" w:rsidR="009829FB" w:rsidRPr="00631C1B" w:rsidRDefault="0000758F" w:rsidP="009A3F2B">
      <w:pPr>
        <w:pStyle w:val="ListBullet"/>
      </w:pPr>
      <w:r w:rsidRPr="00631C1B">
        <w:t xml:space="preserve">By the end of the programme, most projects had either met or surpassed their target, with the majority achieving </w:t>
      </w:r>
      <w:r w:rsidR="009829FB" w:rsidRPr="00631C1B">
        <w:t xml:space="preserve">high sustained participation, despite many being new the activity </w:t>
      </w:r>
    </w:p>
    <w:p w14:paraId="6AF4711A" w14:textId="50FD2425" w:rsidR="009829FB" w:rsidRPr="00631C1B" w:rsidRDefault="009829FB" w:rsidP="00EB1C5B">
      <w:pPr>
        <w:pStyle w:val="ListBullet"/>
      </w:pPr>
      <w:r w:rsidRPr="00631C1B">
        <w:t>For those who did not sustain</w:t>
      </w:r>
      <w:r w:rsidR="00936186" w:rsidRPr="00631C1B">
        <w:t xml:space="preserve"> their participation, this was </w:t>
      </w:r>
      <w:r w:rsidRPr="00631C1B">
        <w:t xml:space="preserve">largely </w:t>
      </w:r>
      <w:r w:rsidR="00D15222" w:rsidRPr="00631C1B">
        <w:t xml:space="preserve">due to </w:t>
      </w:r>
      <w:r w:rsidRPr="00631C1B">
        <w:t>personal issues</w:t>
      </w:r>
      <w:r w:rsidR="00CC0429" w:rsidRPr="00631C1B">
        <w:t xml:space="preserve">, with existing </w:t>
      </w:r>
      <w:r w:rsidRPr="00631C1B">
        <w:t>challenges with attendance in school, homelessness,</w:t>
      </w:r>
      <w:r w:rsidR="00936186" w:rsidRPr="00631C1B">
        <w:t xml:space="preserve"> and</w:t>
      </w:r>
      <w:r w:rsidRPr="00631C1B">
        <w:t xml:space="preserve"> mental health </w:t>
      </w:r>
    </w:p>
    <w:p w14:paraId="2B496414" w14:textId="5FB8E1E5" w:rsidR="00D663B8" w:rsidRPr="00631C1B" w:rsidRDefault="00D663B8" w:rsidP="00EB1C5B">
      <w:pPr>
        <w:pStyle w:val="ListBullet"/>
        <w:rPr>
          <w:b/>
          <w:bCs/>
        </w:rPr>
      </w:pPr>
      <w:r w:rsidRPr="00631C1B">
        <w:t xml:space="preserve">Many projects reported how it was important that the sessions were fun and created positive energy for those taking part. Making the point that many </w:t>
      </w:r>
      <w:r w:rsidRPr="00631C1B">
        <w:lastRenderedPageBreak/>
        <w:t>participants had to feel a positive response to their experience to commit, although this could come from the right level of challenge</w:t>
      </w:r>
    </w:p>
    <w:p w14:paraId="70B6D074" w14:textId="3AF5FDB5" w:rsidR="00525E90" w:rsidRPr="00631C1B" w:rsidRDefault="00C24987" w:rsidP="002007B9">
      <w:pPr>
        <w:pStyle w:val="ListBullet"/>
      </w:pPr>
      <w:r w:rsidRPr="00631C1B">
        <w:t>S</w:t>
      </w:r>
      <w:r w:rsidR="00E2632C" w:rsidRPr="00631C1B">
        <w:t>u</w:t>
      </w:r>
      <w:r w:rsidRPr="00631C1B">
        <w:t>cces</w:t>
      </w:r>
      <w:r w:rsidR="00E2632C" w:rsidRPr="00631C1B">
        <w:t xml:space="preserve">sful </w:t>
      </w:r>
      <w:r w:rsidR="00616EBA" w:rsidRPr="00631C1B">
        <w:t>mechanisms organisations adopted for attracting and then sustaining participation</w:t>
      </w:r>
      <w:r w:rsidR="00E2632C" w:rsidRPr="00631C1B">
        <w:t xml:space="preserve"> included</w:t>
      </w:r>
      <w:r w:rsidR="00AD46A2" w:rsidRPr="00631C1B">
        <w:t xml:space="preserve"> </w:t>
      </w:r>
      <w:r w:rsidR="00E2632C" w:rsidRPr="00631C1B">
        <w:t xml:space="preserve">giving an </w:t>
      </w:r>
      <w:r w:rsidR="00616EBA" w:rsidRPr="00631C1B">
        <w:t xml:space="preserve">initial </w:t>
      </w:r>
      <w:r w:rsidR="00D00B3B" w:rsidRPr="00631C1B">
        <w:t>focus to developing participants’</w:t>
      </w:r>
      <w:r w:rsidR="009829FB" w:rsidRPr="00631C1B">
        <w:t xml:space="preserve"> </w:t>
      </w:r>
      <w:r w:rsidR="00882425" w:rsidRPr="00631C1B">
        <w:t xml:space="preserve">personal and social </w:t>
      </w:r>
      <w:r w:rsidR="009829FB" w:rsidRPr="00631C1B">
        <w:t>skills (</w:t>
      </w:r>
      <w:r w:rsidR="00372389" w:rsidRPr="00631C1B">
        <w:t xml:space="preserve">e.g. </w:t>
      </w:r>
      <w:r w:rsidR="009829FB" w:rsidRPr="00631C1B">
        <w:t xml:space="preserve">confidence, teamwork, time management), before expecting them to </w:t>
      </w:r>
      <w:r w:rsidR="009F10C8" w:rsidRPr="00631C1B">
        <w:t>engage</w:t>
      </w:r>
      <w:r w:rsidR="00FB02CD" w:rsidRPr="00631C1B">
        <w:t xml:space="preserve"> further</w:t>
      </w:r>
      <w:r w:rsidR="00E2632C" w:rsidRPr="00631C1B">
        <w:t xml:space="preserve">, and </w:t>
      </w:r>
      <w:r w:rsidR="00767D8C" w:rsidRPr="00631C1B">
        <w:t>encouraging participants</w:t>
      </w:r>
      <w:r w:rsidR="00470FF5" w:rsidRPr="00631C1B">
        <w:t xml:space="preserve"> to invite friends to the programme</w:t>
      </w:r>
      <w:r w:rsidR="002007B9" w:rsidRPr="00631C1B">
        <w:t xml:space="preserve"> </w:t>
      </w:r>
      <w:r w:rsidR="007932A4" w:rsidRPr="00631C1B">
        <w:t xml:space="preserve">(e.g. </w:t>
      </w:r>
      <w:proofErr w:type="spellStart"/>
      <w:r w:rsidR="007932A4" w:rsidRPr="00631C1B">
        <w:t>YDance’s</w:t>
      </w:r>
      <w:proofErr w:type="spellEnd"/>
      <w:r w:rsidR="009829FB" w:rsidRPr="00631C1B">
        <w:t xml:space="preserve"> 'Bring A Friend' strategy</w:t>
      </w:r>
      <w:r w:rsidR="002007B9" w:rsidRPr="00631C1B">
        <w:t xml:space="preserve">). </w:t>
      </w:r>
    </w:p>
    <w:p w14:paraId="3739A24B" w14:textId="6D47E194" w:rsidR="00525E90" w:rsidRPr="00631C1B" w:rsidRDefault="00525E90" w:rsidP="00525E90">
      <w:pPr>
        <w:pStyle w:val="Caption"/>
      </w:pPr>
      <w:bookmarkStart w:id="44" w:name="_Toc42266752"/>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17</w:t>
      </w:r>
      <w:r w:rsidRPr="00631C1B">
        <w:rPr>
          <w:noProof/>
        </w:rPr>
        <w:fldChar w:fldCharType="end"/>
      </w:r>
      <w:r w:rsidRPr="00631C1B">
        <w:t xml:space="preserve">  Progress towards targets in participants participating in positive activity – based on grant offer letter – Year 3</w:t>
      </w:r>
      <w:bookmarkEnd w:id="44"/>
    </w:p>
    <w:tbl>
      <w:tblPr>
        <w:tblStyle w:val="BOPtable"/>
        <w:tblW w:w="0" w:type="auto"/>
        <w:tblLook w:val="04A0" w:firstRow="1" w:lastRow="0" w:firstColumn="1" w:lastColumn="0" w:noHBand="0" w:noVBand="1"/>
      </w:tblPr>
      <w:tblGrid>
        <w:gridCol w:w="1134"/>
        <w:gridCol w:w="699"/>
        <w:gridCol w:w="689"/>
        <w:gridCol w:w="1011"/>
        <w:gridCol w:w="689"/>
        <w:gridCol w:w="881"/>
        <w:gridCol w:w="689"/>
        <w:gridCol w:w="900"/>
      </w:tblGrid>
      <w:tr w:rsidR="00D846A9" w:rsidRPr="00631C1B" w14:paraId="37E694CA" w14:textId="77777777" w:rsidTr="00D846A9">
        <w:trPr>
          <w:cnfStyle w:val="100000000000" w:firstRow="1" w:lastRow="0" w:firstColumn="0" w:lastColumn="0" w:oddVBand="0" w:evenVBand="0" w:oddHBand="0" w:evenHBand="0" w:firstRowFirstColumn="0" w:firstRowLastColumn="0" w:lastRowFirstColumn="0" w:lastRowLastColumn="0"/>
        </w:trPr>
        <w:tc>
          <w:tcPr>
            <w:tcW w:w="1134" w:type="dxa"/>
            <w:tcBorders>
              <w:right w:val="single" w:sz="4" w:space="0" w:color="000000" w:themeColor="text1"/>
            </w:tcBorders>
          </w:tcPr>
          <w:p w14:paraId="3913ECF7" w14:textId="77777777" w:rsidR="00D846A9" w:rsidRPr="00631C1B" w:rsidRDefault="00D846A9" w:rsidP="009A3F2B"/>
        </w:tc>
        <w:tc>
          <w:tcPr>
            <w:tcW w:w="1388" w:type="dxa"/>
            <w:gridSpan w:val="2"/>
            <w:tcBorders>
              <w:left w:val="single" w:sz="4" w:space="0" w:color="000000" w:themeColor="text1"/>
              <w:right w:val="single" w:sz="4" w:space="0" w:color="000000" w:themeColor="text1"/>
            </w:tcBorders>
          </w:tcPr>
          <w:p w14:paraId="4C7691C7" w14:textId="77777777" w:rsidR="00D846A9" w:rsidRPr="00631C1B" w:rsidRDefault="00D846A9" w:rsidP="009A3F2B">
            <w:pPr>
              <w:jc w:val="center"/>
            </w:pPr>
            <w:r w:rsidRPr="00631C1B">
              <w:t>Targeted Fund</w:t>
            </w:r>
          </w:p>
        </w:tc>
        <w:tc>
          <w:tcPr>
            <w:tcW w:w="1700" w:type="dxa"/>
            <w:gridSpan w:val="2"/>
            <w:tcBorders>
              <w:left w:val="single" w:sz="4" w:space="0" w:color="000000" w:themeColor="text1"/>
              <w:right w:val="single" w:sz="4" w:space="0" w:color="000000" w:themeColor="text1"/>
            </w:tcBorders>
          </w:tcPr>
          <w:p w14:paraId="7BC35528" w14:textId="77777777" w:rsidR="00D846A9" w:rsidRPr="00631C1B" w:rsidRDefault="00D846A9" w:rsidP="009A3F2B">
            <w:pPr>
              <w:jc w:val="center"/>
            </w:pPr>
            <w:r w:rsidRPr="00631C1B">
              <w:t>Open Fund</w:t>
            </w:r>
          </w:p>
        </w:tc>
        <w:tc>
          <w:tcPr>
            <w:tcW w:w="1570" w:type="dxa"/>
            <w:gridSpan w:val="2"/>
            <w:tcBorders>
              <w:left w:val="single" w:sz="4" w:space="0" w:color="000000" w:themeColor="text1"/>
              <w:right w:val="single" w:sz="4" w:space="0" w:color="000000" w:themeColor="text1"/>
            </w:tcBorders>
          </w:tcPr>
          <w:p w14:paraId="0FA6E5E2" w14:textId="77777777" w:rsidR="00D846A9" w:rsidRPr="00631C1B" w:rsidRDefault="00D846A9" w:rsidP="009A3F2B">
            <w:pPr>
              <w:jc w:val="center"/>
            </w:pPr>
            <w:r w:rsidRPr="00631C1B">
              <w:t>Programme Total</w:t>
            </w:r>
          </w:p>
        </w:tc>
        <w:tc>
          <w:tcPr>
            <w:tcW w:w="900" w:type="dxa"/>
          </w:tcPr>
          <w:p w14:paraId="3EDCCE63" w14:textId="77777777" w:rsidR="00D846A9" w:rsidRPr="00631C1B" w:rsidRDefault="00D846A9" w:rsidP="009A3F2B">
            <w:pPr>
              <w:jc w:val="center"/>
            </w:pPr>
          </w:p>
        </w:tc>
      </w:tr>
      <w:tr w:rsidR="00D846A9" w:rsidRPr="00631C1B" w14:paraId="6FA03F8E" w14:textId="77777777" w:rsidTr="00D846A9">
        <w:tc>
          <w:tcPr>
            <w:tcW w:w="1134" w:type="dxa"/>
            <w:tcBorders>
              <w:top w:val="single" w:sz="12" w:space="0" w:color="3C5896" w:themeColor="accent1"/>
              <w:bottom w:val="single" w:sz="12" w:space="0" w:color="3C5896" w:themeColor="accent1"/>
              <w:right w:val="single" w:sz="4" w:space="0" w:color="000000" w:themeColor="text1"/>
            </w:tcBorders>
          </w:tcPr>
          <w:p w14:paraId="23E6E7A5" w14:textId="77777777" w:rsidR="00D846A9" w:rsidRPr="00631C1B" w:rsidRDefault="00D846A9" w:rsidP="009A3F2B">
            <w:pPr>
              <w:rPr>
                <w:sz w:val="18"/>
                <w:szCs w:val="18"/>
              </w:rPr>
            </w:pPr>
          </w:p>
        </w:tc>
        <w:tc>
          <w:tcPr>
            <w:tcW w:w="699"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6C516BBF" w14:textId="77777777" w:rsidR="00D846A9" w:rsidRPr="00631C1B" w:rsidRDefault="00D846A9" w:rsidP="009A3F2B">
            <w:pPr>
              <w:jc w:val="center"/>
              <w:rPr>
                <w:b/>
                <w:color w:val="3C5896"/>
                <w:sz w:val="18"/>
                <w:szCs w:val="18"/>
              </w:rPr>
            </w:pPr>
            <w:r w:rsidRPr="00631C1B">
              <w:rPr>
                <w:b/>
                <w:color w:val="3C5896"/>
                <w:sz w:val="18"/>
                <w:szCs w:val="18"/>
              </w:rPr>
              <w:t>Grant offer letter target</w:t>
            </w:r>
          </w:p>
        </w:tc>
        <w:tc>
          <w:tcPr>
            <w:tcW w:w="689"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0A9F712E" w14:textId="77777777" w:rsidR="00D846A9" w:rsidRPr="00631C1B" w:rsidRDefault="00D846A9" w:rsidP="009A3F2B">
            <w:pPr>
              <w:jc w:val="center"/>
              <w:rPr>
                <w:b/>
                <w:color w:val="3C5896"/>
                <w:sz w:val="18"/>
                <w:szCs w:val="18"/>
              </w:rPr>
            </w:pPr>
            <w:r w:rsidRPr="00631C1B">
              <w:rPr>
                <w:b/>
                <w:color w:val="3C5896"/>
                <w:sz w:val="18"/>
                <w:szCs w:val="18"/>
              </w:rPr>
              <w:t>Actual</w:t>
            </w:r>
          </w:p>
        </w:tc>
        <w:tc>
          <w:tcPr>
            <w:tcW w:w="1011"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21C5AFAE" w14:textId="77777777" w:rsidR="00D846A9" w:rsidRPr="00631C1B" w:rsidRDefault="00D846A9" w:rsidP="009A3F2B">
            <w:pPr>
              <w:jc w:val="center"/>
              <w:rPr>
                <w:b/>
                <w:color w:val="3C5896"/>
                <w:sz w:val="18"/>
                <w:szCs w:val="18"/>
              </w:rPr>
            </w:pPr>
            <w:r w:rsidRPr="00631C1B">
              <w:rPr>
                <w:b/>
                <w:color w:val="3C5896"/>
                <w:sz w:val="18"/>
                <w:szCs w:val="18"/>
              </w:rPr>
              <w:t>Grant offer letter target</w:t>
            </w:r>
          </w:p>
        </w:tc>
        <w:tc>
          <w:tcPr>
            <w:tcW w:w="689"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37F16201" w14:textId="77777777" w:rsidR="00D846A9" w:rsidRPr="00631C1B" w:rsidRDefault="00D846A9" w:rsidP="009A3F2B">
            <w:pPr>
              <w:jc w:val="center"/>
              <w:rPr>
                <w:b/>
                <w:color w:val="3C5896"/>
                <w:sz w:val="18"/>
                <w:szCs w:val="18"/>
              </w:rPr>
            </w:pPr>
            <w:r w:rsidRPr="00631C1B">
              <w:rPr>
                <w:b/>
                <w:color w:val="3C5896"/>
                <w:sz w:val="18"/>
                <w:szCs w:val="18"/>
              </w:rPr>
              <w:t>Actual</w:t>
            </w:r>
          </w:p>
        </w:tc>
        <w:tc>
          <w:tcPr>
            <w:tcW w:w="881"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42499841" w14:textId="77777777" w:rsidR="00D846A9" w:rsidRPr="00631C1B" w:rsidRDefault="00D846A9" w:rsidP="009A3F2B">
            <w:pPr>
              <w:jc w:val="center"/>
              <w:rPr>
                <w:b/>
                <w:color w:val="3C5896"/>
                <w:sz w:val="18"/>
                <w:szCs w:val="18"/>
              </w:rPr>
            </w:pPr>
            <w:r w:rsidRPr="00631C1B">
              <w:rPr>
                <w:b/>
                <w:color w:val="3C5896"/>
                <w:sz w:val="18"/>
                <w:szCs w:val="18"/>
              </w:rPr>
              <w:t>Grant offer letter target</w:t>
            </w:r>
          </w:p>
        </w:tc>
        <w:tc>
          <w:tcPr>
            <w:tcW w:w="689"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1C62D1ED" w14:textId="77777777" w:rsidR="00D846A9" w:rsidRPr="00631C1B" w:rsidRDefault="00D846A9" w:rsidP="009A3F2B">
            <w:pPr>
              <w:jc w:val="center"/>
              <w:rPr>
                <w:b/>
                <w:color w:val="3C5896"/>
                <w:sz w:val="18"/>
                <w:szCs w:val="18"/>
              </w:rPr>
            </w:pPr>
            <w:r w:rsidRPr="00631C1B">
              <w:rPr>
                <w:b/>
                <w:color w:val="3C5896"/>
                <w:sz w:val="18"/>
                <w:szCs w:val="18"/>
              </w:rPr>
              <w:t>Actual</w:t>
            </w:r>
          </w:p>
        </w:tc>
        <w:tc>
          <w:tcPr>
            <w:tcW w:w="900" w:type="dxa"/>
            <w:tcBorders>
              <w:top w:val="single" w:sz="12" w:space="0" w:color="3C5896" w:themeColor="accent1"/>
              <w:bottom w:val="single" w:sz="12" w:space="0" w:color="3C5896" w:themeColor="accent1"/>
            </w:tcBorders>
          </w:tcPr>
          <w:p w14:paraId="5531B958" w14:textId="77777777" w:rsidR="00D846A9" w:rsidRPr="00631C1B" w:rsidRDefault="00D846A9" w:rsidP="009A3F2B">
            <w:pPr>
              <w:jc w:val="center"/>
              <w:rPr>
                <w:b/>
                <w:color w:val="3C5896"/>
                <w:sz w:val="18"/>
                <w:szCs w:val="18"/>
              </w:rPr>
            </w:pPr>
            <w:r w:rsidRPr="00631C1B">
              <w:rPr>
                <w:b/>
                <w:color w:val="3C5896"/>
                <w:sz w:val="18"/>
                <w:szCs w:val="18"/>
              </w:rPr>
              <w:t>Variance</w:t>
            </w:r>
          </w:p>
        </w:tc>
      </w:tr>
      <w:tr w:rsidR="003C506B" w:rsidRPr="00631C1B" w14:paraId="530C51C0" w14:textId="77777777" w:rsidTr="00D846A9">
        <w:tc>
          <w:tcPr>
            <w:tcW w:w="1134" w:type="dxa"/>
            <w:tcBorders>
              <w:top w:val="single" w:sz="12" w:space="0" w:color="3C5896" w:themeColor="accent1"/>
              <w:right w:val="single" w:sz="4" w:space="0" w:color="000000" w:themeColor="text1"/>
            </w:tcBorders>
          </w:tcPr>
          <w:p w14:paraId="71B31B93" w14:textId="77777777" w:rsidR="003C506B" w:rsidRPr="00631C1B" w:rsidRDefault="003C506B" w:rsidP="003C506B">
            <w:pPr>
              <w:rPr>
                <w:sz w:val="18"/>
                <w:szCs w:val="18"/>
              </w:rPr>
            </w:pPr>
            <w:r w:rsidRPr="00631C1B">
              <w:rPr>
                <w:sz w:val="18"/>
                <w:szCs w:val="18"/>
              </w:rPr>
              <w:t>Number participating in the activity</w:t>
            </w:r>
          </w:p>
        </w:tc>
        <w:tc>
          <w:tcPr>
            <w:tcW w:w="699" w:type="dxa"/>
            <w:tcBorders>
              <w:top w:val="single" w:sz="12" w:space="0" w:color="3C5896" w:themeColor="accent1"/>
              <w:left w:val="single" w:sz="4" w:space="0" w:color="000000" w:themeColor="text1"/>
              <w:right w:val="single" w:sz="4" w:space="0" w:color="000000" w:themeColor="text1"/>
            </w:tcBorders>
          </w:tcPr>
          <w:p w14:paraId="7F35D34E" w14:textId="6ECB9505" w:rsidR="003C506B" w:rsidRPr="00631C1B" w:rsidRDefault="003C506B" w:rsidP="003C506B">
            <w:pPr>
              <w:jc w:val="center"/>
              <w:rPr>
                <w:sz w:val="18"/>
                <w:szCs w:val="18"/>
              </w:rPr>
            </w:pPr>
            <w:r w:rsidRPr="00631C1B">
              <w:rPr>
                <w:sz w:val="18"/>
                <w:szCs w:val="18"/>
              </w:rPr>
              <w:t>2,762</w:t>
            </w:r>
          </w:p>
        </w:tc>
        <w:tc>
          <w:tcPr>
            <w:tcW w:w="689" w:type="dxa"/>
            <w:tcBorders>
              <w:top w:val="single" w:sz="12" w:space="0" w:color="3C5896" w:themeColor="accent1"/>
              <w:left w:val="single" w:sz="4" w:space="0" w:color="000000" w:themeColor="text1"/>
              <w:right w:val="single" w:sz="4" w:space="0" w:color="000000" w:themeColor="text1"/>
            </w:tcBorders>
          </w:tcPr>
          <w:p w14:paraId="4EF84FBF" w14:textId="569C58B1" w:rsidR="003C506B" w:rsidRPr="00631C1B" w:rsidRDefault="003C506B" w:rsidP="003C506B">
            <w:pPr>
              <w:jc w:val="center"/>
              <w:rPr>
                <w:sz w:val="18"/>
                <w:szCs w:val="18"/>
              </w:rPr>
            </w:pPr>
            <w:r w:rsidRPr="00631C1B">
              <w:rPr>
                <w:sz w:val="18"/>
                <w:szCs w:val="18"/>
              </w:rPr>
              <w:t>2,154</w:t>
            </w:r>
          </w:p>
        </w:tc>
        <w:tc>
          <w:tcPr>
            <w:tcW w:w="1011" w:type="dxa"/>
            <w:tcBorders>
              <w:top w:val="single" w:sz="12" w:space="0" w:color="3C5896" w:themeColor="accent1"/>
              <w:left w:val="single" w:sz="4" w:space="0" w:color="000000" w:themeColor="text1"/>
              <w:right w:val="single" w:sz="4" w:space="0" w:color="000000" w:themeColor="text1"/>
            </w:tcBorders>
          </w:tcPr>
          <w:p w14:paraId="27182855" w14:textId="6432FEAE" w:rsidR="003C506B" w:rsidRPr="00631C1B" w:rsidRDefault="003C506B" w:rsidP="003C506B">
            <w:pPr>
              <w:jc w:val="center"/>
              <w:rPr>
                <w:sz w:val="18"/>
                <w:szCs w:val="18"/>
              </w:rPr>
            </w:pPr>
            <w:r w:rsidRPr="00631C1B">
              <w:rPr>
                <w:sz w:val="18"/>
                <w:szCs w:val="18"/>
              </w:rPr>
              <w:t>3,334</w:t>
            </w:r>
          </w:p>
        </w:tc>
        <w:tc>
          <w:tcPr>
            <w:tcW w:w="689" w:type="dxa"/>
            <w:tcBorders>
              <w:top w:val="single" w:sz="12" w:space="0" w:color="3C5896" w:themeColor="accent1"/>
              <w:left w:val="single" w:sz="4" w:space="0" w:color="000000" w:themeColor="text1"/>
              <w:right w:val="single" w:sz="4" w:space="0" w:color="000000" w:themeColor="text1"/>
            </w:tcBorders>
          </w:tcPr>
          <w:p w14:paraId="64D00577" w14:textId="53E80106" w:rsidR="003C506B" w:rsidRPr="00631C1B" w:rsidRDefault="003C506B" w:rsidP="003C506B">
            <w:pPr>
              <w:jc w:val="center"/>
              <w:rPr>
                <w:sz w:val="18"/>
                <w:szCs w:val="18"/>
              </w:rPr>
            </w:pPr>
            <w:r w:rsidRPr="00631C1B">
              <w:rPr>
                <w:sz w:val="18"/>
                <w:szCs w:val="18"/>
              </w:rPr>
              <w:t>3,019</w:t>
            </w:r>
          </w:p>
        </w:tc>
        <w:tc>
          <w:tcPr>
            <w:tcW w:w="881" w:type="dxa"/>
            <w:tcBorders>
              <w:top w:val="single" w:sz="12" w:space="0" w:color="3C5896" w:themeColor="accent1"/>
              <w:left w:val="single" w:sz="4" w:space="0" w:color="000000" w:themeColor="text1"/>
              <w:right w:val="single" w:sz="4" w:space="0" w:color="000000" w:themeColor="text1"/>
            </w:tcBorders>
          </w:tcPr>
          <w:p w14:paraId="1B6E961A" w14:textId="2E5F7D57" w:rsidR="003C506B" w:rsidRPr="00631C1B" w:rsidRDefault="003C506B" w:rsidP="003C506B">
            <w:pPr>
              <w:jc w:val="center"/>
              <w:rPr>
                <w:sz w:val="18"/>
                <w:szCs w:val="18"/>
              </w:rPr>
            </w:pPr>
            <w:r w:rsidRPr="00631C1B">
              <w:rPr>
                <w:sz w:val="18"/>
                <w:szCs w:val="18"/>
              </w:rPr>
              <w:t>6,096</w:t>
            </w:r>
          </w:p>
        </w:tc>
        <w:tc>
          <w:tcPr>
            <w:tcW w:w="689" w:type="dxa"/>
            <w:tcBorders>
              <w:top w:val="single" w:sz="12" w:space="0" w:color="3C5896" w:themeColor="accent1"/>
              <w:left w:val="single" w:sz="4" w:space="0" w:color="000000" w:themeColor="text1"/>
              <w:right w:val="single" w:sz="4" w:space="0" w:color="000000" w:themeColor="text1"/>
            </w:tcBorders>
          </w:tcPr>
          <w:p w14:paraId="7C811E30" w14:textId="20583A50" w:rsidR="003C506B" w:rsidRPr="00631C1B" w:rsidRDefault="003C506B" w:rsidP="003C506B">
            <w:pPr>
              <w:jc w:val="center"/>
              <w:rPr>
                <w:sz w:val="18"/>
                <w:szCs w:val="18"/>
              </w:rPr>
            </w:pPr>
            <w:r w:rsidRPr="00631C1B">
              <w:rPr>
                <w:sz w:val="18"/>
                <w:szCs w:val="18"/>
              </w:rPr>
              <w:t>5,173</w:t>
            </w:r>
          </w:p>
        </w:tc>
        <w:tc>
          <w:tcPr>
            <w:tcW w:w="900" w:type="dxa"/>
            <w:tcBorders>
              <w:top w:val="single" w:sz="12" w:space="0" w:color="3C5896" w:themeColor="accent1"/>
            </w:tcBorders>
          </w:tcPr>
          <w:p w14:paraId="63DDE7A3" w14:textId="6CD19CFF" w:rsidR="003C506B" w:rsidRPr="00631C1B" w:rsidRDefault="003C506B" w:rsidP="003C506B">
            <w:pPr>
              <w:jc w:val="center"/>
              <w:rPr>
                <w:sz w:val="18"/>
                <w:szCs w:val="18"/>
              </w:rPr>
            </w:pPr>
            <w:r w:rsidRPr="00631C1B">
              <w:rPr>
                <w:sz w:val="18"/>
                <w:szCs w:val="18"/>
              </w:rPr>
              <w:t>-923</w:t>
            </w:r>
          </w:p>
        </w:tc>
      </w:tr>
      <w:tr w:rsidR="003C506B" w:rsidRPr="00631C1B" w14:paraId="6EAC62E9" w14:textId="77777777" w:rsidTr="00D846A9">
        <w:tc>
          <w:tcPr>
            <w:tcW w:w="1134" w:type="dxa"/>
            <w:tcBorders>
              <w:right w:val="single" w:sz="4" w:space="0" w:color="000000" w:themeColor="text1"/>
            </w:tcBorders>
          </w:tcPr>
          <w:p w14:paraId="1AA90985" w14:textId="77777777" w:rsidR="003C506B" w:rsidRPr="00631C1B" w:rsidRDefault="003C506B" w:rsidP="003C506B">
            <w:pPr>
              <w:rPr>
                <w:sz w:val="18"/>
                <w:szCs w:val="18"/>
              </w:rPr>
            </w:pPr>
            <w:r w:rsidRPr="00631C1B">
              <w:rPr>
                <w:sz w:val="18"/>
                <w:szCs w:val="18"/>
              </w:rPr>
              <w:t>Number who were new to this type of activity</w:t>
            </w:r>
          </w:p>
        </w:tc>
        <w:tc>
          <w:tcPr>
            <w:tcW w:w="699" w:type="dxa"/>
            <w:tcBorders>
              <w:left w:val="single" w:sz="4" w:space="0" w:color="000000" w:themeColor="text1"/>
              <w:right w:val="single" w:sz="4" w:space="0" w:color="000000" w:themeColor="text1"/>
            </w:tcBorders>
          </w:tcPr>
          <w:p w14:paraId="61DEF3D4" w14:textId="306D8A90" w:rsidR="003C506B" w:rsidRPr="00631C1B" w:rsidRDefault="003C506B" w:rsidP="003C506B">
            <w:pPr>
              <w:jc w:val="center"/>
              <w:rPr>
                <w:sz w:val="18"/>
                <w:szCs w:val="18"/>
              </w:rPr>
            </w:pPr>
            <w:r w:rsidRPr="00631C1B">
              <w:rPr>
                <w:sz w:val="18"/>
                <w:szCs w:val="18"/>
              </w:rPr>
              <w:t>2,015</w:t>
            </w:r>
          </w:p>
        </w:tc>
        <w:tc>
          <w:tcPr>
            <w:tcW w:w="689" w:type="dxa"/>
            <w:tcBorders>
              <w:left w:val="single" w:sz="4" w:space="0" w:color="000000" w:themeColor="text1"/>
              <w:right w:val="single" w:sz="4" w:space="0" w:color="000000" w:themeColor="text1"/>
            </w:tcBorders>
          </w:tcPr>
          <w:p w14:paraId="413CF4EA" w14:textId="3632FE4C" w:rsidR="003C506B" w:rsidRPr="00631C1B" w:rsidRDefault="003C506B" w:rsidP="003C506B">
            <w:pPr>
              <w:jc w:val="center"/>
              <w:rPr>
                <w:sz w:val="18"/>
                <w:szCs w:val="18"/>
              </w:rPr>
            </w:pPr>
            <w:r w:rsidRPr="00631C1B">
              <w:rPr>
                <w:sz w:val="18"/>
                <w:szCs w:val="18"/>
              </w:rPr>
              <w:t>1,803</w:t>
            </w:r>
          </w:p>
        </w:tc>
        <w:tc>
          <w:tcPr>
            <w:tcW w:w="1011" w:type="dxa"/>
            <w:tcBorders>
              <w:left w:val="single" w:sz="4" w:space="0" w:color="000000" w:themeColor="text1"/>
              <w:right w:val="single" w:sz="4" w:space="0" w:color="000000" w:themeColor="text1"/>
            </w:tcBorders>
          </w:tcPr>
          <w:p w14:paraId="5A8C9A3C" w14:textId="4022096B" w:rsidR="003C506B" w:rsidRPr="00631C1B" w:rsidRDefault="003C506B" w:rsidP="003C506B">
            <w:pPr>
              <w:jc w:val="center"/>
              <w:rPr>
                <w:sz w:val="18"/>
                <w:szCs w:val="18"/>
              </w:rPr>
            </w:pPr>
            <w:r w:rsidRPr="00631C1B">
              <w:rPr>
                <w:sz w:val="18"/>
                <w:szCs w:val="18"/>
              </w:rPr>
              <w:t>2,000</w:t>
            </w:r>
          </w:p>
        </w:tc>
        <w:tc>
          <w:tcPr>
            <w:tcW w:w="689" w:type="dxa"/>
            <w:tcBorders>
              <w:left w:val="single" w:sz="4" w:space="0" w:color="000000" w:themeColor="text1"/>
              <w:right w:val="single" w:sz="4" w:space="0" w:color="000000" w:themeColor="text1"/>
            </w:tcBorders>
          </w:tcPr>
          <w:p w14:paraId="5F05D8D8" w14:textId="424FDEA2" w:rsidR="003C506B" w:rsidRPr="00631C1B" w:rsidRDefault="003C506B" w:rsidP="003C506B">
            <w:pPr>
              <w:jc w:val="center"/>
              <w:rPr>
                <w:sz w:val="18"/>
                <w:szCs w:val="18"/>
              </w:rPr>
            </w:pPr>
            <w:r w:rsidRPr="00631C1B">
              <w:rPr>
                <w:sz w:val="18"/>
                <w:szCs w:val="18"/>
              </w:rPr>
              <w:t>1,892</w:t>
            </w:r>
          </w:p>
        </w:tc>
        <w:tc>
          <w:tcPr>
            <w:tcW w:w="881" w:type="dxa"/>
            <w:tcBorders>
              <w:left w:val="single" w:sz="4" w:space="0" w:color="000000" w:themeColor="text1"/>
              <w:right w:val="single" w:sz="4" w:space="0" w:color="000000" w:themeColor="text1"/>
            </w:tcBorders>
          </w:tcPr>
          <w:p w14:paraId="7E5CC9A1" w14:textId="7016A2D7" w:rsidR="003C506B" w:rsidRPr="00631C1B" w:rsidRDefault="003C506B" w:rsidP="003C506B">
            <w:pPr>
              <w:jc w:val="center"/>
              <w:rPr>
                <w:sz w:val="18"/>
                <w:szCs w:val="18"/>
              </w:rPr>
            </w:pPr>
            <w:r w:rsidRPr="00631C1B">
              <w:rPr>
                <w:sz w:val="18"/>
                <w:szCs w:val="18"/>
              </w:rPr>
              <w:t>4,015</w:t>
            </w:r>
          </w:p>
        </w:tc>
        <w:tc>
          <w:tcPr>
            <w:tcW w:w="689" w:type="dxa"/>
            <w:tcBorders>
              <w:left w:val="single" w:sz="4" w:space="0" w:color="000000" w:themeColor="text1"/>
              <w:right w:val="single" w:sz="4" w:space="0" w:color="000000" w:themeColor="text1"/>
            </w:tcBorders>
          </w:tcPr>
          <w:p w14:paraId="48B02CA9" w14:textId="2F71F8D5" w:rsidR="003C506B" w:rsidRPr="00631C1B" w:rsidRDefault="003C506B" w:rsidP="003C506B">
            <w:pPr>
              <w:jc w:val="center"/>
              <w:rPr>
                <w:sz w:val="18"/>
                <w:szCs w:val="18"/>
              </w:rPr>
            </w:pPr>
            <w:r w:rsidRPr="00631C1B">
              <w:rPr>
                <w:sz w:val="18"/>
                <w:szCs w:val="18"/>
              </w:rPr>
              <w:t>3,695</w:t>
            </w:r>
          </w:p>
        </w:tc>
        <w:tc>
          <w:tcPr>
            <w:tcW w:w="900" w:type="dxa"/>
          </w:tcPr>
          <w:p w14:paraId="179949AE" w14:textId="4080D14E" w:rsidR="003C506B" w:rsidRPr="00631C1B" w:rsidRDefault="003C506B" w:rsidP="003C506B">
            <w:pPr>
              <w:jc w:val="center"/>
              <w:rPr>
                <w:sz w:val="18"/>
                <w:szCs w:val="18"/>
              </w:rPr>
            </w:pPr>
            <w:r w:rsidRPr="00631C1B">
              <w:rPr>
                <w:sz w:val="18"/>
                <w:szCs w:val="18"/>
              </w:rPr>
              <w:t>-320</w:t>
            </w:r>
          </w:p>
        </w:tc>
      </w:tr>
      <w:tr w:rsidR="003C506B" w:rsidRPr="00631C1B" w14:paraId="05D42DEF" w14:textId="77777777" w:rsidTr="00D846A9">
        <w:tc>
          <w:tcPr>
            <w:tcW w:w="1134" w:type="dxa"/>
            <w:tcBorders>
              <w:bottom w:val="nil"/>
              <w:right w:val="single" w:sz="4" w:space="0" w:color="000000" w:themeColor="text1"/>
            </w:tcBorders>
          </w:tcPr>
          <w:p w14:paraId="665B8884" w14:textId="77777777" w:rsidR="003C506B" w:rsidRPr="00631C1B" w:rsidRDefault="003C506B" w:rsidP="003C506B">
            <w:pPr>
              <w:rPr>
                <w:sz w:val="18"/>
                <w:szCs w:val="18"/>
              </w:rPr>
            </w:pPr>
            <w:r w:rsidRPr="00631C1B">
              <w:rPr>
                <w:sz w:val="18"/>
                <w:szCs w:val="18"/>
              </w:rPr>
              <w:t>Number sustaining participation</w:t>
            </w:r>
          </w:p>
        </w:tc>
        <w:tc>
          <w:tcPr>
            <w:tcW w:w="699" w:type="dxa"/>
            <w:tcBorders>
              <w:left w:val="single" w:sz="4" w:space="0" w:color="000000" w:themeColor="text1"/>
              <w:bottom w:val="nil"/>
              <w:right w:val="single" w:sz="4" w:space="0" w:color="000000" w:themeColor="text1"/>
            </w:tcBorders>
          </w:tcPr>
          <w:p w14:paraId="6091242A" w14:textId="503F7AAD" w:rsidR="003C506B" w:rsidRPr="00631C1B" w:rsidRDefault="003C506B" w:rsidP="003C506B">
            <w:pPr>
              <w:jc w:val="center"/>
              <w:rPr>
                <w:sz w:val="18"/>
                <w:szCs w:val="18"/>
              </w:rPr>
            </w:pPr>
            <w:r w:rsidRPr="00631C1B">
              <w:rPr>
                <w:sz w:val="18"/>
                <w:szCs w:val="18"/>
              </w:rPr>
              <w:t>1,638</w:t>
            </w:r>
          </w:p>
        </w:tc>
        <w:tc>
          <w:tcPr>
            <w:tcW w:w="689" w:type="dxa"/>
            <w:tcBorders>
              <w:left w:val="single" w:sz="4" w:space="0" w:color="000000" w:themeColor="text1"/>
              <w:bottom w:val="nil"/>
              <w:right w:val="single" w:sz="4" w:space="0" w:color="000000" w:themeColor="text1"/>
            </w:tcBorders>
          </w:tcPr>
          <w:p w14:paraId="3B2554E5" w14:textId="508D8222" w:rsidR="003C506B" w:rsidRPr="00631C1B" w:rsidRDefault="003C506B" w:rsidP="003C506B">
            <w:pPr>
              <w:jc w:val="center"/>
              <w:rPr>
                <w:sz w:val="18"/>
                <w:szCs w:val="18"/>
              </w:rPr>
            </w:pPr>
            <w:r w:rsidRPr="00631C1B">
              <w:rPr>
                <w:sz w:val="18"/>
                <w:szCs w:val="18"/>
              </w:rPr>
              <w:t>1,955</w:t>
            </w:r>
          </w:p>
        </w:tc>
        <w:tc>
          <w:tcPr>
            <w:tcW w:w="1011" w:type="dxa"/>
            <w:tcBorders>
              <w:left w:val="single" w:sz="4" w:space="0" w:color="000000" w:themeColor="text1"/>
              <w:bottom w:val="nil"/>
              <w:right w:val="single" w:sz="4" w:space="0" w:color="000000" w:themeColor="text1"/>
            </w:tcBorders>
          </w:tcPr>
          <w:p w14:paraId="2236B5C7" w14:textId="24F97D88" w:rsidR="003C506B" w:rsidRPr="00631C1B" w:rsidRDefault="003C506B" w:rsidP="003C506B">
            <w:pPr>
              <w:jc w:val="center"/>
              <w:rPr>
                <w:sz w:val="18"/>
                <w:szCs w:val="18"/>
              </w:rPr>
            </w:pPr>
            <w:r w:rsidRPr="00631C1B">
              <w:rPr>
                <w:sz w:val="18"/>
                <w:szCs w:val="18"/>
              </w:rPr>
              <w:t>2,500</w:t>
            </w:r>
          </w:p>
        </w:tc>
        <w:tc>
          <w:tcPr>
            <w:tcW w:w="689" w:type="dxa"/>
            <w:tcBorders>
              <w:left w:val="single" w:sz="4" w:space="0" w:color="000000" w:themeColor="text1"/>
              <w:bottom w:val="nil"/>
              <w:right w:val="single" w:sz="4" w:space="0" w:color="000000" w:themeColor="text1"/>
            </w:tcBorders>
          </w:tcPr>
          <w:p w14:paraId="27E84BF1" w14:textId="514592D4" w:rsidR="003C506B" w:rsidRPr="00631C1B" w:rsidRDefault="003C506B" w:rsidP="003C506B">
            <w:pPr>
              <w:jc w:val="center"/>
              <w:rPr>
                <w:sz w:val="18"/>
                <w:szCs w:val="18"/>
              </w:rPr>
            </w:pPr>
            <w:r w:rsidRPr="00631C1B">
              <w:rPr>
                <w:sz w:val="18"/>
                <w:szCs w:val="18"/>
              </w:rPr>
              <w:t>1,381</w:t>
            </w:r>
          </w:p>
        </w:tc>
        <w:tc>
          <w:tcPr>
            <w:tcW w:w="881" w:type="dxa"/>
            <w:tcBorders>
              <w:left w:val="single" w:sz="4" w:space="0" w:color="000000" w:themeColor="text1"/>
              <w:bottom w:val="nil"/>
              <w:right w:val="single" w:sz="4" w:space="0" w:color="000000" w:themeColor="text1"/>
            </w:tcBorders>
          </w:tcPr>
          <w:p w14:paraId="15B61C51" w14:textId="0C587CF3" w:rsidR="003C506B" w:rsidRPr="00631C1B" w:rsidRDefault="003C506B" w:rsidP="003C506B">
            <w:pPr>
              <w:jc w:val="center"/>
              <w:rPr>
                <w:sz w:val="18"/>
                <w:szCs w:val="18"/>
              </w:rPr>
            </w:pPr>
            <w:r w:rsidRPr="00631C1B">
              <w:rPr>
                <w:sz w:val="18"/>
                <w:szCs w:val="18"/>
              </w:rPr>
              <w:t>4,138</w:t>
            </w:r>
          </w:p>
        </w:tc>
        <w:tc>
          <w:tcPr>
            <w:tcW w:w="689" w:type="dxa"/>
            <w:tcBorders>
              <w:left w:val="single" w:sz="4" w:space="0" w:color="000000" w:themeColor="text1"/>
              <w:bottom w:val="nil"/>
              <w:right w:val="single" w:sz="4" w:space="0" w:color="000000" w:themeColor="text1"/>
            </w:tcBorders>
          </w:tcPr>
          <w:p w14:paraId="06691902" w14:textId="39BE3418" w:rsidR="003C506B" w:rsidRPr="00631C1B" w:rsidRDefault="003C506B" w:rsidP="003C506B">
            <w:pPr>
              <w:jc w:val="center"/>
              <w:rPr>
                <w:sz w:val="18"/>
                <w:szCs w:val="18"/>
              </w:rPr>
            </w:pPr>
            <w:r w:rsidRPr="00631C1B">
              <w:rPr>
                <w:sz w:val="18"/>
                <w:szCs w:val="18"/>
              </w:rPr>
              <w:t>3,336</w:t>
            </w:r>
          </w:p>
        </w:tc>
        <w:tc>
          <w:tcPr>
            <w:tcW w:w="900" w:type="dxa"/>
          </w:tcPr>
          <w:p w14:paraId="25E964FE" w14:textId="28EA821E" w:rsidR="003C506B" w:rsidRPr="00631C1B" w:rsidRDefault="003C506B" w:rsidP="003C506B">
            <w:pPr>
              <w:jc w:val="center"/>
              <w:rPr>
                <w:sz w:val="18"/>
                <w:szCs w:val="18"/>
              </w:rPr>
            </w:pPr>
            <w:r w:rsidRPr="00631C1B">
              <w:rPr>
                <w:sz w:val="18"/>
                <w:szCs w:val="18"/>
              </w:rPr>
              <w:t>-802</w:t>
            </w:r>
          </w:p>
        </w:tc>
      </w:tr>
    </w:tbl>
    <w:p w14:paraId="37F2CC24" w14:textId="0344FE65" w:rsidR="00525E90" w:rsidRPr="00631C1B" w:rsidRDefault="00525E90" w:rsidP="00525E90">
      <w:pPr>
        <w:pStyle w:val="Source"/>
      </w:pPr>
      <w:r w:rsidRPr="00631C1B">
        <w:t>Source: Creative Scotland / BOP Consulting (20</w:t>
      </w:r>
      <w:r w:rsidR="00AA5D6B" w:rsidRPr="00631C1B">
        <w:t>20</w:t>
      </w:r>
      <w:r w:rsidRPr="00631C1B">
        <w:t>)</w:t>
      </w:r>
    </w:p>
    <w:p w14:paraId="2829B2AC" w14:textId="77777777" w:rsidR="00525E90" w:rsidRPr="00631C1B" w:rsidRDefault="00525E90" w:rsidP="00525E90">
      <w:pPr>
        <w:pStyle w:val="Caption"/>
      </w:pPr>
    </w:p>
    <w:p w14:paraId="23E36924" w14:textId="77777777" w:rsidR="00D20AFE" w:rsidRPr="00631C1B" w:rsidRDefault="00D20AFE" w:rsidP="00D20AFE"/>
    <w:p w14:paraId="0E5C2874" w14:textId="77777777" w:rsidR="00D20AFE" w:rsidRPr="00631C1B" w:rsidRDefault="00D20AFE" w:rsidP="00D20AFE"/>
    <w:p w14:paraId="002C5A27" w14:textId="58EF2B4A" w:rsidR="00525E90" w:rsidRPr="00631C1B" w:rsidRDefault="00525E90" w:rsidP="00525E90">
      <w:pPr>
        <w:pStyle w:val="Caption"/>
      </w:pPr>
      <w:bookmarkStart w:id="45" w:name="_Toc42266753"/>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18</w:t>
      </w:r>
      <w:r w:rsidRPr="00631C1B">
        <w:rPr>
          <w:noProof/>
        </w:rPr>
        <w:fldChar w:fldCharType="end"/>
      </w:r>
      <w:r w:rsidRPr="00631C1B">
        <w:t xml:space="preserve">  Progress towards targets in participants participating in positive activity – based on grant offer letter – All years</w:t>
      </w:r>
      <w:bookmarkEnd w:id="45"/>
    </w:p>
    <w:tbl>
      <w:tblPr>
        <w:tblStyle w:val="BOPtable"/>
        <w:tblW w:w="0" w:type="auto"/>
        <w:tblLook w:val="04A0" w:firstRow="1" w:lastRow="0" w:firstColumn="1" w:lastColumn="0" w:noHBand="0" w:noVBand="1"/>
      </w:tblPr>
      <w:tblGrid>
        <w:gridCol w:w="1187"/>
        <w:gridCol w:w="790"/>
        <w:gridCol w:w="720"/>
        <w:gridCol w:w="665"/>
        <w:gridCol w:w="720"/>
        <w:gridCol w:w="1156"/>
        <w:gridCol w:w="720"/>
        <w:gridCol w:w="942"/>
      </w:tblGrid>
      <w:tr w:rsidR="00D846A9" w:rsidRPr="00631C1B" w14:paraId="78B6ECE8" w14:textId="77777777" w:rsidTr="009A3F2B">
        <w:trPr>
          <w:cnfStyle w:val="100000000000" w:firstRow="1" w:lastRow="0" w:firstColumn="0" w:lastColumn="0" w:oddVBand="0" w:evenVBand="0" w:oddHBand="0" w:evenHBand="0" w:firstRowFirstColumn="0" w:firstRowLastColumn="0" w:lastRowFirstColumn="0" w:lastRowLastColumn="0"/>
        </w:trPr>
        <w:tc>
          <w:tcPr>
            <w:tcW w:w="1187" w:type="dxa"/>
            <w:tcBorders>
              <w:right w:val="single" w:sz="4" w:space="0" w:color="000000" w:themeColor="text1"/>
            </w:tcBorders>
          </w:tcPr>
          <w:p w14:paraId="408B3268" w14:textId="77777777" w:rsidR="00D846A9" w:rsidRPr="00631C1B" w:rsidRDefault="00D846A9" w:rsidP="009A3F2B"/>
        </w:tc>
        <w:tc>
          <w:tcPr>
            <w:tcW w:w="1510" w:type="dxa"/>
            <w:gridSpan w:val="2"/>
            <w:tcBorders>
              <w:left w:val="single" w:sz="4" w:space="0" w:color="000000" w:themeColor="text1"/>
              <w:right w:val="single" w:sz="4" w:space="0" w:color="000000" w:themeColor="text1"/>
            </w:tcBorders>
          </w:tcPr>
          <w:p w14:paraId="37198804" w14:textId="77777777" w:rsidR="00D846A9" w:rsidRPr="00631C1B" w:rsidRDefault="00D846A9" w:rsidP="009A3F2B">
            <w:pPr>
              <w:jc w:val="center"/>
            </w:pPr>
            <w:r w:rsidRPr="00631C1B">
              <w:t>Targeted Fund</w:t>
            </w:r>
          </w:p>
        </w:tc>
        <w:tc>
          <w:tcPr>
            <w:tcW w:w="1385" w:type="dxa"/>
            <w:gridSpan w:val="2"/>
            <w:tcBorders>
              <w:left w:val="single" w:sz="4" w:space="0" w:color="000000" w:themeColor="text1"/>
              <w:right w:val="single" w:sz="4" w:space="0" w:color="000000" w:themeColor="text1"/>
            </w:tcBorders>
          </w:tcPr>
          <w:p w14:paraId="6983C736" w14:textId="77777777" w:rsidR="00D846A9" w:rsidRPr="00631C1B" w:rsidRDefault="00D846A9" w:rsidP="009A3F2B">
            <w:pPr>
              <w:jc w:val="center"/>
            </w:pPr>
            <w:r w:rsidRPr="00631C1B">
              <w:t>Open Fund</w:t>
            </w:r>
          </w:p>
        </w:tc>
        <w:tc>
          <w:tcPr>
            <w:tcW w:w="1876" w:type="dxa"/>
            <w:gridSpan w:val="2"/>
            <w:tcBorders>
              <w:left w:val="single" w:sz="4" w:space="0" w:color="000000" w:themeColor="text1"/>
              <w:right w:val="single" w:sz="4" w:space="0" w:color="000000" w:themeColor="text1"/>
            </w:tcBorders>
          </w:tcPr>
          <w:p w14:paraId="7F7E4093" w14:textId="77777777" w:rsidR="00D846A9" w:rsidRPr="00631C1B" w:rsidRDefault="00D846A9" w:rsidP="009A3F2B">
            <w:pPr>
              <w:jc w:val="center"/>
            </w:pPr>
            <w:r w:rsidRPr="00631C1B">
              <w:t>Programme Total</w:t>
            </w:r>
          </w:p>
        </w:tc>
        <w:tc>
          <w:tcPr>
            <w:tcW w:w="942" w:type="dxa"/>
          </w:tcPr>
          <w:p w14:paraId="380025CD" w14:textId="77777777" w:rsidR="00D846A9" w:rsidRPr="00631C1B" w:rsidRDefault="00D846A9" w:rsidP="009A3F2B">
            <w:pPr>
              <w:jc w:val="center"/>
            </w:pPr>
          </w:p>
        </w:tc>
      </w:tr>
      <w:tr w:rsidR="00D846A9" w:rsidRPr="00631C1B" w14:paraId="04E607EC" w14:textId="77777777" w:rsidTr="009A3F2B">
        <w:tc>
          <w:tcPr>
            <w:tcW w:w="1187" w:type="dxa"/>
            <w:tcBorders>
              <w:top w:val="single" w:sz="12" w:space="0" w:color="3C5896" w:themeColor="accent1"/>
              <w:bottom w:val="single" w:sz="12" w:space="0" w:color="3C5896" w:themeColor="accent1"/>
              <w:right w:val="single" w:sz="4" w:space="0" w:color="000000" w:themeColor="text1"/>
            </w:tcBorders>
          </w:tcPr>
          <w:p w14:paraId="1CAB6C68" w14:textId="77777777" w:rsidR="00D846A9" w:rsidRPr="00631C1B" w:rsidRDefault="00D846A9" w:rsidP="009A3F2B">
            <w:pPr>
              <w:rPr>
                <w:sz w:val="18"/>
                <w:szCs w:val="18"/>
              </w:rPr>
            </w:pPr>
          </w:p>
        </w:tc>
        <w:tc>
          <w:tcPr>
            <w:tcW w:w="790"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776A8973" w14:textId="77777777" w:rsidR="00D846A9" w:rsidRPr="00631C1B" w:rsidRDefault="00D846A9" w:rsidP="009A3F2B">
            <w:pPr>
              <w:jc w:val="center"/>
              <w:rPr>
                <w:b/>
                <w:color w:val="3C5896"/>
                <w:sz w:val="18"/>
                <w:szCs w:val="18"/>
              </w:rPr>
            </w:pPr>
            <w:r w:rsidRPr="00631C1B">
              <w:rPr>
                <w:b/>
                <w:color w:val="3C5896"/>
                <w:sz w:val="18"/>
                <w:szCs w:val="18"/>
              </w:rPr>
              <w:t>Grant offer letter target</w:t>
            </w:r>
          </w:p>
        </w:tc>
        <w:tc>
          <w:tcPr>
            <w:tcW w:w="720"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4D27FF68" w14:textId="77777777" w:rsidR="00D846A9" w:rsidRPr="00631C1B" w:rsidRDefault="00D846A9" w:rsidP="009A3F2B">
            <w:pPr>
              <w:jc w:val="center"/>
              <w:rPr>
                <w:b/>
                <w:color w:val="3C5896"/>
                <w:sz w:val="18"/>
                <w:szCs w:val="18"/>
              </w:rPr>
            </w:pPr>
            <w:r w:rsidRPr="00631C1B">
              <w:rPr>
                <w:b/>
                <w:color w:val="3C5896"/>
                <w:sz w:val="18"/>
                <w:szCs w:val="18"/>
              </w:rPr>
              <w:t>Actual</w:t>
            </w:r>
          </w:p>
        </w:tc>
        <w:tc>
          <w:tcPr>
            <w:tcW w:w="665"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127E11B9" w14:textId="77777777" w:rsidR="00D846A9" w:rsidRPr="00631C1B" w:rsidRDefault="00D846A9" w:rsidP="009A3F2B">
            <w:pPr>
              <w:jc w:val="center"/>
              <w:rPr>
                <w:b/>
                <w:color w:val="3C5896"/>
                <w:sz w:val="18"/>
                <w:szCs w:val="18"/>
              </w:rPr>
            </w:pPr>
            <w:r w:rsidRPr="00631C1B">
              <w:rPr>
                <w:b/>
                <w:color w:val="3C5896"/>
                <w:sz w:val="18"/>
                <w:szCs w:val="18"/>
              </w:rPr>
              <w:t>Grant offer letter target</w:t>
            </w:r>
          </w:p>
        </w:tc>
        <w:tc>
          <w:tcPr>
            <w:tcW w:w="720"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097AB0FD" w14:textId="77777777" w:rsidR="00D846A9" w:rsidRPr="00631C1B" w:rsidRDefault="00D846A9" w:rsidP="009A3F2B">
            <w:pPr>
              <w:jc w:val="center"/>
              <w:rPr>
                <w:b/>
                <w:color w:val="3C5896"/>
                <w:sz w:val="18"/>
                <w:szCs w:val="18"/>
              </w:rPr>
            </w:pPr>
            <w:r w:rsidRPr="00631C1B">
              <w:rPr>
                <w:b/>
                <w:color w:val="3C5896"/>
                <w:sz w:val="18"/>
                <w:szCs w:val="18"/>
              </w:rPr>
              <w:t>Actual</w:t>
            </w:r>
          </w:p>
        </w:tc>
        <w:tc>
          <w:tcPr>
            <w:tcW w:w="1156"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42E49807" w14:textId="77777777" w:rsidR="00D846A9" w:rsidRPr="00631C1B" w:rsidRDefault="00D846A9" w:rsidP="009A3F2B">
            <w:pPr>
              <w:jc w:val="center"/>
              <w:rPr>
                <w:b/>
                <w:color w:val="3C5896"/>
                <w:sz w:val="18"/>
                <w:szCs w:val="18"/>
              </w:rPr>
            </w:pPr>
            <w:r w:rsidRPr="00631C1B">
              <w:rPr>
                <w:b/>
                <w:color w:val="3C5896"/>
                <w:sz w:val="18"/>
                <w:szCs w:val="18"/>
              </w:rPr>
              <w:t>Grant offer letter target</w:t>
            </w:r>
          </w:p>
        </w:tc>
        <w:tc>
          <w:tcPr>
            <w:tcW w:w="720" w:type="dxa"/>
            <w:tcBorders>
              <w:top w:val="single" w:sz="12" w:space="0" w:color="3C5896" w:themeColor="accent1"/>
              <w:left w:val="single" w:sz="4" w:space="0" w:color="000000" w:themeColor="text1"/>
              <w:bottom w:val="single" w:sz="12" w:space="0" w:color="3C5896" w:themeColor="accent1"/>
              <w:right w:val="single" w:sz="4" w:space="0" w:color="000000" w:themeColor="text1"/>
            </w:tcBorders>
          </w:tcPr>
          <w:p w14:paraId="56A90E45" w14:textId="77777777" w:rsidR="00D846A9" w:rsidRPr="00631C1B" w:rsidRDefault="00D846A9" w:rsidP="009A3F2B">
            <w:pPr>
              <w:jc w:val="center"/>
              <w:rPr>
                <w:b/>
                <w:color w:val="3C5896"/>
                <w:sz w:val="18"/>
                <w:szCs w:val="18"/>
              </w:rPr>
            </w:pPr>
            <w:r w:rsidRPr="00631C1B">
              <w:rPr>
                <w:b/>
                <w:color w:val="3C5896"/>
                <w:sz w:val="18"/>
                <w:szCs w:val="18"/>
              </w:rPr>
              <w:t>Actual</w:t>
            </w:r>
          </w:p>
        </w:tc>
        <w:tc>
          <w:tcPr>
            <w:tcW w:w="942" w:type="dxa"/>
            <w:tcBorders>
              <w:top w:val="single" w:sz="12" w:space="0" w:color="3C5896" w:themeColor="accent1"/>
              <w:bottom w:val="single" w:sz="12" w:space="0" w:color="3C5896" w:themeColor="accent1"/>
            </w:tcBorders>
          </w:tcPr>
          <w:p w14:paraId="3406D354" w14:textId="77777777" w:rsidR="00D846A9" w:rsidRPr="00631C1B" w:rsidRDefault="00D846A9" w:rsidP="009A3F2B">
            <w:pPr>
              <w:jc w:val="center"/>
              <w:rPr>
                <w:b/>
                <w:color w:val="3C5896"/>
                <w:sz w:val="18"/>
                <w:szCs w:val="18"/>
              </w:rPr>
            </w:pPr>
            <w:r w:rsidRPr="00631C1B">
              <w:rPr>
                <w:b/>
                <w:color w:val="3C5896"/>
                <w:sz w:val="18"/>
                <w:szCs w:val="18"/>
              </w:rPr>
              <w:t>Variance</w:t>
            </w:r>
          </w:p>
        </w:tc>
      </w:tr>
      <w:tr w:rsidR="004F78E0" w:rsidRPr="00631C1B" w14:paraId="26E4A0E6" w14:textId="77777777" w:rsidTr="009A3F2B">
        <w:tc>
          <w:tcPr>
            <w:tcW w:w="1187" w:type="dxa"/>
            <w:tcBorders>
              <w:top w:val="single" w:sz="12" w:space="0" w:color="3C5896" w:themeColor="accent1"/>
              <w:right w:val="single" w:sz="4" w:space="0" w:color="000000" w:themeColor="text1"/>
            </w:tcBorders>
          </w:tcPr>
          <w:p w14:paraId="07CAAA60" w14:textId="77777777" w:rsidR="004F78E0" w:rsidRPr="00631C1B" w:rsidRDefault="004F78E0" w:rsidP="004F78E0">
            <w:pPr>
              <w:rPr>
                <w:sz w:val="18"/>
                <w:szCs w:val="18"/>
              </w:rPr>
            </w:pPr>
            <w:r w:rsidRPr="00631C1B">
              <w:rPr>
                <w:sz w:val="18"/>
                <w:szCs w:val="18"/>
              </w:rPr>
              <w:t>Number participating in the activity</w:t>
            </w:r>
          </w:p>
        </w:tc>
        <w:tc>
          <w:tcPr>
            <w:tcW w:w="790" w:type="dxa"/>
            <w:tcBorders>
              <w:top w:val="single" w:sz="12" w:space="0" w:color="3C5896" w:themeColor="accent1"/>
              <w:left w:val="single" w:sz="4" w:space="0" w:color="000000" w:themeColor="text1"/>
              <w:right w:val="single" w:sz="4" w:space="0" w:color="000000" w:themeColor="text1"/>
            </w:tcBorders>
          </w:tcPr>
          <w:p w14:paraId="04F6DCDA" w14:textId="43D95292" w:rsidR="004F78E0" w:rsidRPr="00631C1B" w:rsidRDefault="004F78E0" w:rsidP="004F78E0">
            <w:pPr>
              <w:jc w:val="center"/>
              <w:rPr>
                <w:sz w:val="18"/>
                <w:szCs w:val="18"/>
              </w:rPr>
            </w:pPr>
            <w:r w:rsidRPr="00631C1B">
              <w:rPr>
                <w:sz w:val="18"/>
                <w:szCs w:val="18"/>
              </w:rPr>
              <w:t>8,000</w:t>
            </w:r>
          </w:p>
        </w:tc>
        <w:tc>
          <w:tcPr>
            <w:tcW w:w="720" w:type="dxa"/>
            <w:tcBorders>
              <w:top w:val="single" w:sz="12" w:space="0" w:color="3C5896" w:themeColor="accent1"/>
              <w:left w:val="single" w:sz="4" w:space="0" w:color="000000" w:themeColor="text1"/>
              <w:right w:val="single" w:sz="4" w:space="0" w:color="000000" w:themeColor="text1"/>
            </w:tcBorders>
          </w:tcPr>
          <w:p w14:paraId="0D833E9C" w14:textId="1E553C73" w:rsidR="004F78E0" w:rsidRPr="00631C1B" w:rsidRDefault="004F78E0" w:rsidP="004F78E0">
            <w:pPr>
              <w:jc w:val="center"/>
              <w:rPr>
                <w:sz w:val="18"/>
                <w:szCs w:val="18"/>
              </w:rPr>
            </w:pPr>
            <w:r w:rsidRPr="00631C1B">
              <w:rPr>
                <w:sz w:val="18"/>
                <w:szCs w:val="18"/>
              </w:rPr>
              <w:t>6,582</w:t>
            </w:r>
          </w:p>
        </w:tc>
        <w:tc>
          <w:tcPr>
            <w:tcW w:w="665" w:type="dxa"/>
            <w:tcBorders>
              <w:top w:val="single" w:sz="12" w:space="0" w:color="3C5896" w:themeColor="accent1"/>
              <w:left w:val="single" w:sz="4" w:space="0" w:color="000000" w:themeColor="text1"/>
              <w:right w:val="single" w:sz="4" w:space="0" w:color="000000" w:themeColor="text1"/>
            </w:tcBorders>
          </w:tcPr>
          <w:p w14:paraId="7F05AEF9" w14:textId="29582BE2" w:rsidR="004F78E0" w:rsidRPr="00631C1B" w:rsidRDefault="004F78E0" w:rsidP="004F78E0">
            <w:pPr>
              <w:jc w:val="center"/>
              <w:rPr>
                <w:sz w:val="18"/>
                <w:szCs w:val="18"/>
              </w:rPr>
            </w:pPr>
            <w:r w:rsidRPr="00631C1B">
              <w:rPr>
                <w:sz w:val="18"/>
                <w:szCs w:val="18"/>
              </w:rPr>
              <w:t>10,000</w:t>
            </w:r>
          </w:p>
        </w:tc>
        <w:tc>
          <w:tcPr>
            <w:tcW w:w="720" w:type="dxa"/>
            <w:tcBorders>
              <w:top w:val="single" w:sz="12" w:space="0" w:color="3C5896" w:themeColor="accent1"/>
              <w:left w:val="single" w:sz="4" w:space="0" w:color="000000" w:themeColor="text1"/>
              <w:right w:val="single" w:sz="4" w:space="0" w:color="000000" w:themeColor="text1"/>
            </w:tcBorders>
          </w:tcPr>
          <w:p w14:paraId="18169187" w14:textId="44C28963" w:rsidR="004F78E0" w:rsidRPr="00631C1B" w:rsidRDefault="004F78E0" w:rsidP="004F78E0">
            <w:pPr>
              <w:jc w:val="center"/>
              <w:rPr>
                <w:sz w:val="18"/>
                <w:szCs w:val="18"/>
              </w:rPr>
            </w:pPr>
            <w:r w:rsidRPr="00631C1B">
              <w:rPr>
                <w:sz w:val="18"/>
                <w:szCs w:val="18"/>
              </w:rPr>
              <w:t>7,303</w:t>
            </w:r>
          </w:p>
        </w:tc>
        <w:tc>
          <w:tcPr>
            <w:tcW w:w="1156" w:type="dxa"/>
            <w:tcBorders>
              <w:top w:val="single" w:sz="12" w:space="0" w:color="3C5896" w:themeColor="accent1"/>
              <w:left w:val="single" w:sz="4" w:space="0" w:color="000000" w:themeColor="text1"/>
              <w:right w:val="single" w:sz="4" w:space="0" w:color="000000" w:themeColor="text1"/>
            </w:tcBorders>
          </w:tcPr>
          <w:p w14:paraId="34D9A051" w14:textId="69E5E139" w:rsidR="004F78E0" w:rsidRPr="00631C1B" w:rsidRDefault="004F78E0" w:rsidP="004F78E0">
            <w:pPr>
              <w:jc w:val="center"/>
              <w:rPr>
                <w:sz w:val="18"/>
                <w:szCs w:val="18"/>
              </w:rPr>
            </w:pPr>
            <w:r w:rsidRPr="00631C1B">
              <w:rPr>
                <w:sz w:val="18"/>
                <w:szCs w:val="18"/>
              </w:rPr>
              <w:t>18,000</w:t>
            </w:r>
          </w:p>
        </w:tc>
        <w:tc>
          <w:tcPr>
            <w:tcW w:w="720" w:type="dxa"/>
            <w:tcBorders>
              <w:top w:val="single" w:sz="12" w:space="0" w:color="3C5896" w:themeColor="accent1"/>
              <w:left w:val="single" w:sz="4" w:space="0" w:color="000000" w:themeColor="text1"/>
              <w:right w:val="single" w:sz="4" w:space="0" w:color="000000" w:themeColor="text1"/>
            </w:tcBorders>
          </w:tcPr>
          <w:p w14:paraId="1BE806B7" w14:textId="5DEA4C0C" w:rsidR="004F78E0" w:rsidRPr="00631C1B" w:rsidRDefault="004F78E0" w:rsidP="004F78E0">
            <w:pPr>
              <w:jc w:val="center"/>
              <w:rPr>
                <w:sz w:val="18"/>
                <w:szCs w:val="18"/>
              </w:rPr>
            </w:pPr>
            <w:r w:rsidRPr="00631C1B">
              <w:rPr>
                <w:sz w:val="18"/>
                <w:szCs w:val="18"/>
              </w:rPr>
              <w:t>13,885</w:t>
            </w:r>
          </w:p>
        </w:tc>
        <w:tc>
          <w:tcPr>
            <w:tcW w:w="942" w:type="dxa"/>
            <w:tcBorders>
              <w:top w:val="single" w:sz="12" w:space="0" w:color="3C5896" w:themeColor="accent1"/>
            </w:tcBorders>
          </w:tcPr>
          <w:p w14:paraId="1DA03A2D" w14:textId="1B751945" w:rsidR="004F78E0" w:rsidRPr="00631C1B" w:rsidRDefault="004F78E0" w:rsidP="004F78E0">
            <w:pPr>
              <w:jc w:val="center"/>
              <w:rPr>
                <w:sz w:val="18"/>
                <w:szCs w:val="18"/>
              </w:rPr>
            </w:pPr>
            <w:r w:rsidRPr="00631C1B">
              <w:rPr>
                <w:sz w:val="18"/>
                <w:szCs w:val="18"/>
              </w:rPr>
              <w:t>-4,115</w:t>
            </w:r>
          </w:p>
        </w:tc>
      </w:tr>
      <w:tr w:rsidR="004F78E0" w:rsidRPr="00631C1B" w14:paraId="3D998BC4" w14:textId="77777777" w:rsidTr="009A3F2B">
        <w:tc>
          <w:tcPr>
            <w:tcW w:w="1187" w:type="dxa"/>
            <w:tcBorders>
              <w:right w:val="single" w:sz="4" w:space="0" w:color="000000" w:themeColor="text1"/>
            </w:tcBorders>
          </w:tcPr>
          <w:p w14:paraId="2BFD5526" w14:textId="77777777" w:rsidR="004F78E0" w:rsidRPr="00631C1B" w:rsidRDefault="004F78E0" w:rsidP="004F78E0">
            <w:pPr>
              <w:rPr>
                <w:sz w:val="18"/>
                <w:szCs w:val="18"/>
              </w:rPr>
            </w:pPr>
            <w:r w:rsidRPr="00631C1B">
              <w:rPr>
                <w:sz w:val="18"/>
                <w:szCs w:val="18"/>
              </w:rPr>
              <w:t>Number who were new to this type of activity</w:t>
            </w:r>
          </w:p>
        </w:tc>
        <w:tc>
          <w:tcPr>
            <w:tcW w:w="790" w:type="dxa"/>
            <w:tcBorders>
              <w:left w:val="single" w:sz="4" w:space="0" w:color="000000" w:themeColor="text1"/>
              <w:right w:val="single" w:sz="4" w:space="0" w:color="000000" w:themeColor="text1"/>
            </w:tcBorders>
          </w:tcPr>
          <w:p w14:paraId="30B8521F" w14:textId="2FE5A36A" w:rsidR="004F78E0" w:rsidRPr="00631C1B" w:rsidRDefault="004F78E0" w:rsidP="004F78E0">
            <w:pPr>
              <w:jc w:val="center"/>
              <w:rPr>
                <w:sz w:val="18"/>
                <w:szCs w:val="18"/>
              </w:rPr>
            </w:pPr>
            <w:r w:rsidRPr="00631C1B">
              <w:rPr>
                <w:sz w:val="18"/>
                <w:szCs w:val="18"/>
              </w:rPr>
              <w:t>6,000</w:t>
            </w:r>
          </w:p>
        </w:tc>
        <w:tc>
          <w:tcPr>
            <w:tcW w:w="720" w:type="dxa"/>
            <w:tcBorders>
              <w:left w:val="single" w:sz="4" w:space="0" w:color="000000" w:themeColor="text1"/>
              <w:right w:val="single" w:sz="4" w:space="0" w:color="000000" w:themeColor="text1"/>
            </w:tcBorders>
          </w:tcPr>
          <w:p w14:paraId="2A333565" w14:textId="4E60F549" w:rsidR="004F78E0" w:rsidRPr="00631C1B" w:rsidRDefault="004F78E0" w:rsidP="004F78E0">
            <w:pPr>
              <w:jc w:val="center"/>
              <w:rPr>
                <w:sz w:val="18"/>
                <w:szCs w:val="18"/>
              </w:rPr>
            </w:pPr>
            <w:r w:rsidRPr="00631C1B">
              <w:rPr>
                <w:sz w:val="18"/>
                <w:szCs w:val="18"/>
              </w:rPr>
              <w:t>5,255</w:t>
            </w:r>
          </w:p>
        </w:tc>
        <w:tc>
          <w:tcPr>
            <w:tcW w:w="665" w:type="dxa"/>
            <w:tcBorders>
              <w:left w:val="single" w:sz="4" w:space="0" w:color="000000" w:themeColor="text1"/>
              <w:right w:val="single" w:sz="4" w:space="0" w:color="000000" w:themeColor="text1"/>
            </w:tcBorders>
          </w:tcPr>
          <w:p w14:paraId="09943E22" w14:textId="055B46B5" w:rsidR="004F78E0" w:rsidRPr="00631C1B" w:rsidRDefault="004F78E0" w:rsidP="004F78E0">
            <w:pPr>
              <w:jc w:val="center"/>
              <w:rPr>
                <w:sz w:val="18"/>
                <w:szCs w:val="18"/>
              </w:rPr>
            </w:pPr>
            <w:r w:rsidRPr="00631C1B">
              <w:rPr>
                <w:sz w:val="18"/>
                <w:szCs w:val="18"/>
              </w:rPr>
              <w:t>7,500</w:t>
            </w:r>
          </w:p>
        </w:tc>
        <w:tc>
          <w:tcPr>
            <w:tcW w:w="720" w:type="dxa"/>
            <w:tcBorders>
              <w:left w:val="single" w:sz="4" w:space="0" w:color="000000" w:themeColor="text1"/>
              <w:right w:val="single" w:sz="4" w:space="0" w:color="000000" w:themeColor="text1"/>
            </w:tcBorders>
          </w:tcPr>
          <w:p w14:paraId="17205B0C" w14:textId="3F6884DB" w:rsidR="004F78E0" w:rsidRPr="00631C1B" w:rsidRDefault="004F78E0" w:rsidP="004F78E0">
            <w:pPr>
              <w:jc w:val="center"/>
              <w:rPr>
                <w:sz w:val="18"/>
                <w:szCs w:val="18"/>
              </w:rPr>
            </w:pPr>
            <w:r w:rsidRPr="00631C1B">
              <w:rPr>
                <w:sz w:val="18"/>
                <w:szCs w:val="18"/>
              </w:rPr>
              <w:t>5,267</w:t>
            </w:r>
          </w:p>
        </w:tc>
        <w:tc>
          <w:tcPr>
            <w:tcW w:w="1156" w:type="dxa"/>
            <w:tcBorders>
              <w:left w:val="single" w:sz="4" w:space="0" w:color="000000" w:themeColor="text1"/>
              <w:right w:val="single" w:sz="4" w:space="0" w:color="000000" w:themeColor="text1"/>
            </w:tcBorders>
          </w:tcPr>
          <w:p w14:paraId="4F5193C8" w14:textId="7E8ED824" w:rsidR="004F78E0" w:rsidRPr="00631C1B" w:rsidRDefault="004F78E0" w:rsidP="004F78E0">
            <w:pPr>
              <w:jc w:val="center"/>
              <w:rPr>
                <w:sz w:val="18"/>
                <w:szCs w:val="18"/>
              </w:rPr>
            </w:pPr>
            <w:r w:rsidRPr="00631C1B">
              <w:rPr>
                <w:sz w:val="18"/>
                <w:szCs w:val="18"/>
              </w:rPr>
              <w:t>13,500</w:t>
            </w:r>
          </w:p>
        </w:tc>
        <w:tc>
          <w:tcPr>
            <w:tcW w:w="720" w:type="dxa"/>
            <w:tcBorders>
              <w:left w:val="single" w:sz="4" w:space="0" w:color="000000" w:themeColor="text1"/>
              <w:right w:val="single" w:sz="4" w:space="0" w:color="000000" w:themeColor="text1"/>
            </w:tcBorders>
          </w:tcPr>
          <w:p w14:paraId="079F30E2" w14:textId="3994EFEA" w:rsidR="004F78E0" w:rsidRPr="00631C1B" w:rsidRDefault="004F78E0" w:rsidP="004F78E0">
            <w:pPr>
              <w:jc w:val="center"/>
              <w:rPr>
                <w:sz w:val="18"/>
                <w:szCs w:val="18"/>
              </w:rPr>
            </w:pPr>
            <w:r w:rsidRPr="00631C1B">
              <w:rPr>
                <w:sz w:val="18"/>
                <w:szCs w:val="18"/>
              </w:rPr>
              <w:t>10,522</w:t>
            </w:r>
          </w:p>
        </w:tc>
        <w:tc>
          <w:tcPr>
            <w:tcW w:w="942" w:type="dxa"/>
          </w:tcPr>
          <w:p w14:paraId="366AE32A" w14:textId="765734D2" w:rsidR="004F78E0" w:rsidRPr="00631C1B" w:rsidRDefault="004F78E0" w:rsidP="004F78E0">
            <w:pPr>
              <w:jc w:val="center"/>
              <w:rPr>
                <w:sz w:val="18"/>
                <w:szCs w:val="18"/>
              </w:rPr>
            </w:pPr>
            <w:r w:rsidRPr="00631C1B">
              <w:rPr>
                <w:sz w:val="18"/>
                <w:szCs w:val="18"/>
              </w:rPr>
              <w:t>-2,978</w:t>
            </w:r>
          </w:p>
        </w:tc>
      </w:tr>
      <w:tr w:rsidR="004F78E0" w:rsidRPr="00631C1B" w14:paraId="134B8CC5" w14:textId="77777777" w:rsidTr="009A3F2B">
        <w:tc>
          <w:tcPr>
            <w:tcW w:w="1187" w:type="dxa"/>
            <w:tcBorders>
              <w:bottom w:val="nil"/>
              <w:right w:val="single" w:sz="4" w:space="0" w:color="000000" w:themeColor="text1"/>
            </w:tcBorders>
          </w:tcPr>
          <w:p w14:paraId="4693A469" w14:textId="77777777" w:rsidR="004F78E0" w:rsidRPr="00631C1B" w:rsidRDefault="004F78E0" w:rsidP="004F78E0">
            <w:pPr>
              <w:rPr>
                <w:sz w:val="18"/>
                <w:szCs w:val="18"/>
              </w:rPr>
            </w:pPr>
            <w:r w:rsidRPr="00631C1B">
              <w:rPr>
                <w:sz w:val="18"/>
                <w:szCs w:val="18"/>
              </w:rPr>
              <w:t>Number sustaining participation</w:t>
            </w:r>
          </w:p>
        </w:tc>
        <w:tc>
          <w:tcPr>
            <w:tcW w:w="790" w:type="dxa"/>
            <w:tcBorders>
              <w:left w:val="single" w:sz="4" w:space="0" w:color="000000" w:themeColor="text1"/>
              <w:bottom w:val="nil"/>
              <w:right w:val="single" w:sz="4" w:space="0" w:color="000000" w:themeColor="text1"/>
            </w:tcBorders>
          </w:tcPr>
          <w:p w14:paraId="2917318E" w14:textId="72531962" w:rsidR="004F78E0" w:rsidRPr="00631C1B" w:rsidRDefault="004F78E0" w:rsidP="004F78E0">
            <w:pPr>
              <w:jc w:val="center"/>
              <w:rPr>
                <w:sz w:val="18"/>
                <w:szCs w:val="18"/>
              </w:rPr>
            </w:pPr>
            <w:r w:rsidRPr="00631C1B">
              <w:rPr>
                <w:sz w:val="18"/>
                <w:szCs w:val="18"/>
              </w:rPr>
              <w:t>4,800</w:t>
            </w:r>
          </w:p>
        </w:tc>
        <w:tc>
          <w:tcPr>
            <w:tcW w:w="720" w:type="dxa"/>
            <w:tcBorders>
              <w:left w:val="single" w:sz="4" w:space="0" w:color="000000" w:themeColor="text1"/>
              <w:bottom w:val="nil"/>
              <w:right w:val="single" w:sz="4" w:space="0" w:color="000000" w:themeColor="text1"/>
            </w:tcBorders>
          </w:tcPr>
          <w:p w14:paraId="79D4CD27" w14:textId="2C4C20DF" w:rsidR="004F78E0" w:rsidRPr="00631C1B" w:rsidRDefault="004F78E0" w:rsidP="004F78E0">
            <w:pPr>
              <w:jc w:val="center"/>
              <w:rPr>
                <w:sz w:val="18"/>
                <w:szCs w:val="18"/>
              </w:rPr>
            </w:pPr>
            <w:r w:rsidRPr="00631C1B">
              <w:rPr>
                <w:sz w:val="18"/>
                <w:szCs w:val="18"/>
              </w:rPr>
              <w:t>5,830</w:t>
            </w:r>
          </w:p>
        </w:tc>
        <w:tc>
          <w:tcPr>
            <w:tcW w:w="665" w:type="dxa"/>
            <w:tcBorders>
              <w:left w:val="single" w:sz="4" w:space="0" w:color="000000" w:themeColor="text1"/>
              <w:bottom w:val="nil"/>
              <w:right w:val="single" w:sz="4" w:space="0" w:color="000000" w:themeColor="text1"/>
            </w:tcBorders>
          </w:tcPr>
          <w:p w14:paraId="73CF56B0" w14:textId="4BF748A1" w:rsidR="004F78E0" w:rsidRPr="00631C1B" w:rsidRDefault="004F78E0" w:rsidP="004F78E0">
            <w:pPr>
              <w:jc w:val="center"/>
              <w:rPr>
                <w:sz w:val="18"/>
                <w:szCs w:val="18"/>
              </w:rPr>
            </w:pPr>
            <w:r w:rsidRPr="00631C1B">
              <w:rPr>
                <w:sz w:val="18"/>
                <w:szCs w:val="18"/>
              </w:rPr>
              <w:t>6,000</w:t>
            </w:r>
          </w:p>
        </w:tc>
        <w:tc>
          <w:tcPr>
            <w:tcW w:w="720" w:type="dxa"/>
            <w:tcBorders>
              <w:left w:val="single" w:sz="4" w:space="0" w:color="000000" w:themeColor="text1"/>
              <w:bottom w:val="nil"/>
              <w:right w:val="single" w:sz="4" w:space="0" w:color="000000" w:themeColor="text1"/>
            </w:tcBorders>
          </w:tcPr>
          <w:p w14:paraId="743D9226" w14:textId="7E2A31A0" w:rsidR="004F78E0" w:rsidRPr="00631C1B" w:rsidRDefault="004F78E0" w:rsidP="004F78E0">
            <w:pPr>
              <w:jc w:val="center"/>
              <w:rPr>
                <w:sz w:val="18"/>
                <w:szCs w:val="18"/>
              </w:rPr>
            </w:pPr>
            <w:r w:rsidRPr="00631C1B">
              <w:rPr>
                <w:sz w:val="18"/>
                <w:szCs w:val="18"/>
              </w:rPr>
              <w:t>5,341</w:t>
            </w:r>
          </w:p>
        </w:tc>
        <w:tc>
          <w:tcPr>
            <w:tcW w:w="1156" w:type="dxa"/>
            <w:tcBorders>
              <w:left w:val="single" w:sz="4" w:space="0" w:color="000000" w:themeColor="text1"/>
              <w:bottom w:val="nil"/>
              <w:right w:val="single" w:sz="4" w:space="0" w:color="000000" w:themeColor="text1"/>
            </w:tcBorders>
          </w:tcPr>
          <w:p w14:paraId="791CB184" w14:textId="47350825" w:rsidR="004F78E0" w:rsidRPr="00631C1B" w:rsidRDefault="004F78E0" w:rsidP="004F78E0">
            <w:pPr>
              <w:jc w:val="center"/>
              <w:rPr>
                <w:sz w:val="18"/>
                <w:szCs w:val="18"/>
              </w:rPr>
            </w:pPr>
            <w:r w:rsidRPr="00631C1B">
              <w:rPr>
                <w:sz w:val="18"/>
                <w:szCs w:val="18"/>
              </w:rPr>
              <w:t>10,800</w:t>
            </w:r>
          </w:p>
        </w:tc>
        <w:tc>
          <w:tcPr>
            <w:tcW w:w="720" w:type="dxa"/>
            <w:tcBorders>
              <w:left w:val="single" w:sz="4" w:space="0" w:color="000000" w:themeColor="text1"/>
              <w:bottom w:val="nil"/>
              <w:right w:val="single" w:sz="4" w:space="0" w:color="000000" w:themeColor="text1"/>
            </w:tcBorders>
          </w:tcPr>
          <w:p w14:paraId="5CD2FC94" w14:textId="38E79831" w:rsidR="004F78E0" w:rsidRPr="00631C1B" w:rsidRDefault="004F78E0" w:rsidP="004F78E0">
            <w:pPr>
              <w:jc w:val="center"/>
              <w:rPr>
                <w:sz w:val="18"/>
                <w:szCs w:val="18"/>
              </w:rPr>
            </w:pPr>
            <w:r w:rsidRPr="00631C1B">
              <w:rPr>
                <w:sz w:val="18"/>
                <w:szCs w:val="18"/>
              </w:rPr>
              <w:t>11,171</w:t>
            </w:r>
          </w:p>
        </w:tc>
        <w:tc>
          <w:tcPr>
            <w:tcW w:w="942" w:type="dxa"/>
          </w:tcPr>
          <w:p w14:paraId="54D1E503" w14:textId="2858691C" w:rsidR="004F78E0" w:rsidRPr="00631C1B" w:rsidRDefault="004F78E0" w:rsidP="004F78E0">
            <w:pPr>
              <w:jc w:val="center"/>
              <w:rPr>
                <w:sz w:val="18"/>
                <w:szCs w:val="18"/>
              </w:rPr>
            </w:pPr>
            <w:r w:rsidRPr="00631C1B">
              <w:rPr>
                <w:sz w:val="18"/>
                <w:szCs w:val="18"/>
              </w:rPr>
              <w:t>+371</w:t>
            </w:r>
          </w:p>
        </w:tc>
      </w:tr>
    </w:tbl>
    <w:p w14:paraId="54640B86" w14:textId="311F2A25" w:rsidR="00525E90" w:rsidRPr="00631C1B" w:rsidRDefault="00525E90" w:rsidP="00525E90">
      <w:pPr>
        <w:pStyle w:val="Source"/>
      </w:pPr>
      <w:r w:rsidRPr="00631C1B">
        <w:t>Source: Creative Scotland / BOP Consulting (20</w:t>
      </w:r>
      <w:r w:rsidR="00AA5D6B" w:rsidRPr="00631C1B">
        <w:t>20</w:t>
      </w:r>
      <w:r w:rsidRPr="00631C1B">
        <w:t>)</w:t>
      </w:r>
    </w:p>
    <w:p w14:paraId="7BE21169" w14:textId="0A12E90A" w:rsidR="006A155E" w:rsidRPr="00631C1B" w:rsidRDefault="006A155E" w:rsidP="000A3C27">
      <w:pPr>
        <w:pStyle w:val="Subheadingnonumber"/>
      </w:pPr>
      <w:r w:rsidRPr="00631C1B">
        <w:t>Key programme learning</w:t>
      </w:r>
    </w:p>
    <w:p w14:paraId="77F379AF" w14:textId="75A6421E" w:rsidR="006A155E" w:rsidRPr="00631C1B" w:rsidRDefault="0001006A" w:rsidP="000A3C27">
      <w:pPr>
        <w:pStyle w:val="ListBullet"/>
      </w:pPr>
      <w:r w:rsidRPr="00631C1B">
        <w:t>Programme success will depend on getting people through the door</w:t>
      </w:r>
      <w:r w:rsidR="00BC67F8" w:rsidRPr="00631C1B">
        <w:t xml:space="preserve"> and keeping them participating</w:t>
      </w:r>
      <w:r w:rsidRPr="00631C1B">
        <w:t xml:space="preserve">. </w:t>
      </w:r>
      <w:r w:rsidR="00D27E8B" w:rsidRPr="00631C1B">
        <w:t xml:space="preserve">It is </w:t>
      </w:r>
      <w:r w:rsidR="005D1F97" w:rsidRPr="00631C1B">
        <w:t>important to offer a range of accessible activities</w:t>
      </w:r>
      <w:r w:rsidR="009F0BED" w:rsidRPr="00631C1B">
        <w:t xml:space="preserve">, </w:t>
      </w:r>
      <w:r w:rsidR="00D27E8B" w:rsidRPr="00631C1B">
        <w:t>coupled with an offer of progression</w:t>
      </w:r>
      <w:r w:rsidR="00BC67F8" w:rsidRPr="00631C1B">
        <w:t xml:space="preserve"> opportunities</w:t>
      </w:r>
      <w:r w:rsidR="00D27E8B" w:rsidRPr="00631C1B">
        <w:t xml:space="preserve"> for those showing an interest.</w:t>
      </w:r>
      <w:r w:rsidR="00BC67F8" w:rsidRPr="00631C1B">
        <w:t xml:space="preserve"> This will likely </w:t>
      </w:r>
      <w:r w:rsidR="00585EFD" w:rsidRPr="00631C1B">
        <w:t xml:space="preserve">need to be adapted for </w:t>
      </w:r>
      <w:r w:rsidR="003D1DEE" w:rsidRPr="00631C1B">
        <w:t>different groups (e.g. age groups, level of experience, additional challenges faced)</w:t>
      </w:r>
      <w:r w:rsidR="007E2A2B" w:rsidRPr="00631C1B">
        <w:t xml:space="preserve"> and requires flexible support from funders as a result. </w:t>
      </w:r>
      <w:r w:rsidR="003D1DEE" w:rsidRPr="00631C1B">
        <w:t xml:space="preserve"> </w:t>
      </w:r>
      <w:r w:rsidR="00D27E8B" w:rsidRPr="00631C1B">
        <w:t xml:space="preserve"> </w:t>
      </w:r>
    </w:p>
    <w:p w14:paraId="07CEF191" w14:textId="0BF2CE87" w:rsidR="00763B4A" w:rsidRPr="00631C1B" w:rsidRDefault="00CE3E2C" w:rsidP="00763B4A">
      <w:pPr>
        <w:pStyle w:val="Heading1"/>
      </w:pPr>
      <w:bookmarkStart w:id="46" w:name="_Toc11092404"/>
      <w:bookmarkStart w:id="47" w:name="_Toc11092473"/>
      <w:bookmarkStart w:id="48" w:name="_Toc11092405"/>
      <w:bookmarkStart w:id="49" w:name="_Toc11092474"/>
      <w:bookmarkStart w:id="50" w:name="_Toc11092406"/>
      <w:bookmarkStart w:id="51" w:name="_Toc11092475"/>
      <w:bookmarkStart w:id="52" w:name="_Toc43980027"/>
      <w:bookmarkEnd w:id="46"/>
      <w:bookmarkEnd w:id="47"/>
      <w:bookmarkEnd w:id="48"/>
      <w:bookmarkEnd w:id="49"/>
      <w:bookmarkEnd w:id="50"/>
      <w:bookmarkEnd w:id="51"/>
      <w:r w:rsidRPr="00631C1B">
        <w:lastRenderedPageBreak/>
        <w:t>Key project learning</w:t>
      </w:r>
      <w:bookmarkEnd w:id="52"/>
      <w:r w:rsidRPr="00631C1B">
        <w:t xml:space="preserve"> </w:t>
      </w:r>
    </w:p>
    <w:p w14:paraId="1EAD75B1" w14:textId="4C44B9E9" w:rsidR="00437BB4" w:rsidRPr="00631C1B" w:rsidRDefault="001E4142" w:rsidP="00173806">
      <w:pPr>
        <w:pStyle w:val="BodyText"/>
      </w:pPr>
      <w:r w:rsidRPr="00631C1B">
        <w:t>In their End of Project reports</w:t>
      </w:r>
      <w:r w:rsidR="00173806" w:rsidRPr="00631C1B">
        <w:t xml:space="preserve"> </w:t>
      </w:r>
      <w:proofErr w:type="spellStart"/>
      <w:r w:rsidR="00173806" w:rsidRPr="00631C1B">
        <w:t>CashBack</w:t>
      </w:r>
      <w:proofErr w:type="spellEnd"/>
      <w:r w:rsidR="00173806" w:rsidRPr="00631C1B">
        <w:t xml:space="preserve"> for Creativity Phase 4, </w:t>
      </w:r>
      <w:r w:rsidR="00437BB4" w:rsidRPr="00631C1B">
        <w:t xml:space="preserve">funded projects across the Targeted Fund and Open Fund were asked to share what they would do differently, </w:t>
      </w:r>
      <w:r w:rsidR="00614F82" w:rsidRPr="00631C1B">
        <w:t xml:space="preserve">should </w:t>
      </w:r>
      <w:r w:rsidR="00437BB4" w:rsidRPr="00631C1B">
        <w:t>the programme be repeated.</w:t>
      </w:r>
      <w:r w:rsidR="00166705" w:rsidRPr="00631C1B">
        <w:t xml:space="preserve"> Th</w:t>
      </w:r>
      <w:r w:rsidR="0072567B" w:rsidRPr="00631C1B">
        <w:t>is provides further valuable insights into lessons learned and specific challenges</w:t>
      </w:r>
      <w:r w:rsidR="00370D0D" w:rsidRPr="00631C1B">
        <w:t xml:space="preserve"> projects faced</w:t>
      </w:r>
      <w:r w:rsidR="0072567B" w:rsidRPr="00631C1B">
        <w:t>.</w:t>
      </w:r>
      <w:r w:rsidR="00962ABC" w:rsidRPr="00631C1B">
        <w:t xml:space="preserve"> </w:t>
      </w:r>
    </w:p>
    <w:p w14:paraId="073582E1" w14:textId="3FB8A7D4" w:rsidR="00A25C16" w:rsidRPr="00631C1B" w:rsidRDefault="00A25C16" w:rsidP="00A25C16">
      <w:pPr>
        <w:pStyle w:val="Subheadingnonumber"/>
      </w:pPr>
      <w:r w:rsidRPr="00631C1B">
        <w:t>Targeted Fund</w:t>
      </w:r>
    </w:p>
    <w:p w14:paraId="2AB073A4" w14:textId="7AB3D825" w:rsidR="001776CF" w:rsidRPr="00631C1B" w:rsidRDefault="00370D0D" w:rsidP="00A675E2">
      <w:pPr>
        <w:pStyle w:val="ListBullet"/>
      </w:pPr>
      <w:r w:rsidRPr="00631C1B">
        <w:t>M</w:t>
      </w:r>
      <w:r w:rsidR="00476F63" w:rsidRPr="00631C1B">
        <w:t>ost projects reported they would i</w:t>
      </w:r>
      <w:r w:rsidR="00CC6DD0" w:rsidRPr="00631C1B">
        <w:t>mplement c</w:t>
      </w:r>
      <w:r w:rsidR="00434EFE" w:rsidRPr="00631C1B">
        <w:t>hanges in both organisational delivery</w:t>
      </w:r>
      <w:r w:rsidR="00CC6DD0" w:rsidRPr="00631C1B">
        <w:t xml:space="preserve"> and</w:t>
      </w:r>
      <w:r w:rsidR="00434EFE" w:rsidRPr="00631C1B">
        <w:t xml:space="preserve"> how they work with partners. </w:t>
      </w:r>
      <w:r w:rsidR="008C5193" w:rsidRPr="00631C1B">
        <w:t xml:space="preserve">One organisation indicated </w:t>
      </w:r>
      <w:r w:rsidR="00394026" w:rsidRPr="00631C1B">
        <w:t>they would</w:t>
      </w:r>
      <w:r w:rsidR="001776CF" w:rsidRPr="00631C1B">
        <w:t xml:space="preserve"> focus on </w:t>
      </w:r>
      <w:r w:rsidR="008C5193" w:rsidRPr="00631C1B">
        <w:t>broader</w:t>
      </w:r>
      <w:r w:rsidR="001776CF" w:rsidRPr="00631C1B">
        <w:t xml:space="preserve"> training of staff</w:t>
      </w:r>
      <w:r w:rsidR="00960467" w:rsidRPr="00631C1B">
        <w:t xml:space="preserve">, to </w:t>
      </w:r>
      <w:r w:rsidR="001776CF" w:rsidRPr="00631C1B">
        <w:t>overcome th</w:t>
      </w:r>
      <w:r w:rsidR="00960467" w:rsidRPr="00631C1B">
        <w:t xml:space="preserve">eir challenge </w:t>
      </w:r>
      <w:r w:rsidR="001776CF" w:rsidRPr="00631C1B">
        <w:t xml:space="preserve">of </w:t>
      </w:r>
      <w:r w:rsidR="00960467" w:rsidRPr="00631C1B">
        <w:t xml:space="preserve">high </w:t>
      </w:r>
      <w:r w:rsidR="001776CF" w:rsidRPr="00631C1B">
        <w:t>staff turnover</w:t>
      </w:r>
      <w:r w:rsidR="00960467" w:rsidRPr="00631C1B">
        <w:t xml:space="preserve">. This would be </w:t>
      </w:r>
      <w:r w:rsidR="001776CF" w:rsidRPr="00631C1B">
        <w:t xml:space="preserve">applicable to both tutors, </w:t>
      </w:r>
      <w:r w:rsidR="00960467" w:rsidRPr="00631C1B">
        <w:t>but also administrative</w:t>
      </w:r>
      <w:r w:rsidR="001776CF" w:rsidRPr="00631C1B">
        <w:t xml:space="preserve"> aspects of the </w:t>
      </w:r>
      <w:r w:rsidR="00C77F5C">
        <w:t xml:space="preserve">monitoring and evaluation. </w:t>
      </w:r>
      <w:r w:rsidR="00A675E2" w:rsidRPr="00631C1B">
        <w:t>T</w:t>
      </w:r>
      <w:r w:rsidR="006B5BE1" w:rsidRPr="00631C1B">
        <w:t>hey would</w:t>
      </w:r>
      <w:r w:rsidR="00A675E2" w:rsidRPr="00631C1B">
        <w:t xml:space="preserve"> also</w:t>
      </w:r>
      <w:r w:rsidR="006B5BE1" w:rsidRPr="00631C1B">
        <w:t xml:space="preserve"> </w:t>
      </w:r>
      <w:r w:rsidR="003571CD" w:rsidRPr="00631C1B">
        <w:t>focus on</w:t>
      </w:r>
      <w:r w:rsidR="00A675E2" w:rsidRPr="00631C1B">
        <w:t xml:space="preserve"> </w:t>
      </w:r>
      <w:r w:rsidR="006B5BE1" w:rsidRPr="00631C1B">
        <w:t>build</w:t>
      </w:r>
      <w:r w:rsidR="003571CD" w:rsidRPr="00631C1B">
        <w:t>ing</w:t>
      </w:r>
      <w:r w:rsidR="006B5BE1" w:rsidRPr="00631C1B">
        <w:t xml:space="preserve"> stronger partnerships with partners who </w:t>
      </w:r>
      <w:r w:rsidR="00651260" w:rsidRPr="00631C1B">
        <w:t>are already working and have a</w:t>
      </w:r>
      <w:r w:rsidR="000D34A9" w:rsidRPr="00631C1B">
        <w:t>n existing</w:t>
      </w:r>
      <w:r w:rsidR="00651260" w:rsidRPr="00631C1B">
        <w:t xml:space="preserve"> relationship with young people within the</w:t>
      </w:r>
      <w:r w:rsidR="000D34A9" w:rsidRPr="00631C1B">
        <w:t>ir</w:t>
      </w:r>
      <w:r w:rsidR="00651260" w:rsidRPr="00631C1B">
        <w:t xml:space="preserve"> target groups</w:t>
      </w:r>
      <w:r w:rsidR="00554308" w:rsidRPr="00631C1B">
        <w:t xml:space="preserve"> in advance</w:t>
      </w:r>
      <w:r w:rsidR="00651260" w:rsidRPr="00631C1B">
        <w:t xml:space="preserve">. </w:t>
      </w:r>
      <w:r w:rsidR="00AB41A7" w:rsidRPr="00631C1B">
        <w:t xml:space="preserve">They </w:t>
      </w:r>
      <w:r w:rsidR="00554308" w:rsidRPr="00631C1B">
        <w:t xml:space="preserve">could </w:t>
      </w:r>
      <w:r w:rsidR="00AB41A7" w:rsidRPr="00631C1B">
        <w:t xml:space="preserve">then work </w:t>
      </w:r>
      <w:r w:rsidR="00554308" w:rsidRPr="00631C1B">
        <w:t xml:space="preserve">more closely </w:t>
      </w:r>
      <w:r w:rsidR="00AB41A7" w:rsidRPr="00631C1B">
        <w:t>to</w:t>
      </w:r>
      <w:r w:rsidR="00A675E2" w:rsidRPr="00631C1B">
        <w:t>gether to</w:t>
      </w:r>
      <w:r w:rsidR="00AB41A7" w:rsidRPr="00631C1B">
        <w:t xml:space="preserve"> further increase these participants’ skills and aspirations</w:t>
      </w:r>
    </w:p>
    <w:p w14:paraId="4E512774" w14:textId="57EB7F11" w:rsidR="001776CF" w:rsidRPr="00631C1B" w:rsidRDefault="003461E5" w:rsidP="001776CF">
      <w:pPr>
        <w:pStyle w:val="ListBullet"/>
      </w:pPr>
      <w:r w:rsidRPr="00631C1B">
        <w:t>Several organisations suggested they would work with s</w:t>
      </w:r>
      <w:r w:rsidR="001776CF" w:rsidRPr="00631C1B">
        <w:t>maller groups</w:t>
      </w:r>
      <w:r w:rsidR="00F428E7" w:rsidRPr="00631C1B">
        <w:t xml:space="preserve"> over a longer </w:t>
      </w:r>
      <w:r w:rsidR="000C4D02" w:rsidRPr="00631C1B">
        <w:t>period</w:t>
      </w:r>
      <w:r w:rsidR="001776CF" w:rsidRPr="00631C1B">
        <w:t xml:space="preserve">, </w:t>
      </w:r>
      <w:r w:rsidRPr="00631C1B">
        <w:t xml:space="preserve">investing more time in </w:t>
      </w:r>
      <w:r w:rsidR="005D5C1A" w:rsidRPr="00631C1B">
        <w:t>each participant</w:t>
      </w:r>
      <w:r w:rsidR="00394026" w:rsidRPr="00631C1B">
        <w:t>.</w:t>
      </w:r>
      <w:r w:rsidR="00381B75" w:rsidRPr="00631C1B">
        <w:t xml:space="preserve"> </w:t>
      </w:r>
      <w:r w:rsidR="005D5C1A" w:rsidRPr="00631C1B">
        <w:t xml:space="preserve">This draws from the widespread insight that more in-depth, personal and (where possible) </w:t>
      </w:r>
      <w:r w:rsidR="003077F6" w:rsidRPr="00631C1B">
        <w:t xml:space="preserve">one to one </w:t>
      </w:r>
      <w:r w:rsidR="005D5C1A" w:rsidRPr="00631C1B">
        <w:t xml:space="preserve">support enabled </w:t>
      </w:r>
      <w:r w:rsidR="001776CF" w:rsidRPr="00631C1B">
        <w:t>greater</w:t>
      </w:r>
      <w:r w:rsidR="005D5C1A" w:rsidRPr="00631C1B">
        <w:t xml:space="preserve"> individual and cohort-wide</w:t>
      </w:r>
      <w:r w:rsidR="001776CF" w:rsidRPr="00631C1B">
        <w:t xml:space="preserve"> impact</w:t>
      </w:r>
      <w:r w:rsidR="00C72301" w:rsidRPr="00631C1B">
        <w:t xml:space="preserve">. This was linked to a perception that there is a general pressure for scale over impact from most funders. </w:t>
      </w:r>
    </w:p>
    <w:p w14:paraId="2D4C7880" w14:textId="1B554A61" w:rsidR="00434EFE" w:rsidRPr="00631C1B" w:rsidRDefault="00434EFE" w:rsidP="00434EFE">
      <w:pPr>
        <w:pStyle w:val="ListBullet"/>
      </w:pPr>
      <w:r w:rsidRPr="00631C1B">
        <w:t xml:space="preserve">Allocate funds to </w:t>
      </w:r>
      <w:r w:rsidR="00CE0451" w:rsidRPr="00631C1B">
        <w:t xml:space="preserve">further </w:t>
      </w:r>
      <w:r w:rsidRPr="00631C1B">
        <w:t>build</w:t>
      </w:r>
      <w:r w:rsidR="00CE0451" w:rsidRPr="00631C1B">
        <w:t xml:space="preserve"> organisational</w:t>
      </w:r>
      <w:r w:rsidRPr="00631C1B">
        <w:t xml:space="preserve"> capacity (e.g. a fixed-term in-house t</w:t>
      </w:r>
      <w:r w:rsidR="0067024B" w:rsidRPr="00631C1B">
        <w:t xml:space="preserve">ech </w:t>
      </w:r>
      <w:r w:rsidRPr="00631C1B">
        <w:t>and digital specialist,</w:t>
      </w:r>
      <w:r w:rsidR="0067024B" w:rsidRPr="00631C1B">
        <w:t xml:space="preserve"> </w:t>
      </w:r>
      <w:r w:rsidR="00DC4B5C" w:rsidRPr="00631C1B">
        <w:t xml:space="preserve">or </w:t>
      </w:r>
      <w:r w:rsidR="0067024B" w:rsidRPr="00631C1B">
        <w:t>designated</w:t>
      </w:r>
      <w:r w:rsidR="00C77F5C">
        <w:t xml:space="preserve"> monitoring and evaluation o</w:t>
      </w:r>
      <w:r w:rsidRPr="00631C1B">
        <w:t>fficer) on a longer-term basis, rather than short-term cont</w:t>
      </w:r>
      <w:r w:rsidR="00034B04" w:rsidRPr="00631C1B">
        <w:t>r</w:t>
      </w:r>
      <w:r w:rsidRPr="00631C1B">
        <w:t>acts</w:t>
      </w:r>
    </w:p>
    <w:p w14:paraId="71968B9D" w14:textId="7344EDFD" w:rsidR="00434EFE" w:rsidRPr="00631C1B" w:rsidRDefault="00C0509D" w:rsidP="005D0CBE">
      <w:pPr>
        <w:pStyle w:val="ListBullet"/>
      </w:pPr>
      <w:r w:rsidRPr="00631C1B">
        <w:t xml:space="preserve">Build </w:t>
      </w:r>
      <w:r w:rsidR="00AB2716" w:rsidRPr="00631C1B">
        <w:t xml:space="preserve">in </w:t>
      </w:r>
      <w:r w:rsidR="00753C2A" w:rsidRPr="00631C1B">
        <w:t xml:space="preserve">longer lead time </w:t>
      </w:r>
      <w:r w:rsidR="00AB2716" w:rsidRPr="00631C1B">
        <w:t xml:space="preserve">for </w:t>
      </w:r>
      <w:r w:rsidR="00753C2A" w:rsidRPr="00631C1B">
        <w:t xml:space="preserve">participants </w:t>
      </w:r>
      <w:r w:rsidR="00110CF7" w:rsidRPr="00631C1B">
        <w:t>to</w:t>
      </w:r>
      <w:r w:rsidR="00AB2716" w:rsidRPr="00631C1B">
        <w:t xml:space="preserve"> feed </w:t>
      </w:r>
      <w:r w:rsidR="00110CF7" w:rsidRPr="00631C1B">
        <w:t xml:space="preserve">directly </w:t>
      </w:r>
      <w:r w:rsidR="00AB2716" w:rsidRPr="00631C1B">
        <w:t>into programme design</w:t>
      </w:r>
      <w:r w:rsidR="00753C2A" w:rsidRPr="00631C1B">
        <w:t xml:space="preserve">. </w:t>
      </w:r>
      <w:r w:rsidR="00DC4B5C" w:rsidRPr="00631C1B">
        <w:t>One organisation indicated</w:t>
      </w:r>
      <w:r w:rsidR="00980603" w:rsidRPr="00631C1B">
        <w:t xml:space="preserve"> they would </w:t>
      </w:r>
      <w:r w:rsidR="00AB2716" w:rsidRPr="00631C1B">
        <w:t xml:space="preserve">enable more time for </w:t>
      </w:r>
      <w:r w:rsidR="00714315" w:rsidRPr="00631C1B">
        <w:t xml:space="preserve">tutors to work with participants to design a user-led </w:t>
      </w:r>
      <w:r w:rsidR="003B6F44" w:rsidRPr="00631C1B">
        <w:t xml:space="preserve">approach to the support </w:t>
      </w:r>
      <w:r w:rsidR="00714315" w:rsidRPr="00631C1B">
        <w:t>that would suit them</w:t>
      </w:r>
      <w:r w:rsidR="003B6F44" w:rsidRPr="00631C1B">
        <w:t>, r</w:t>
      </w:r>
      <w:r w:rsidR="00714315" w:rsidRPr="00631C1B">
        <w:t>ather than designing</w:t>
      </w:r>
      <w:r w:rsidR="003B6F44" w:rsidRPr="00631C1B">
        <w:t xml:space="preserve"> a programme application</w:t>
      </w:r>
      <w:r w:rsidR="00714315" w:rsidRPr="00631C1B">
        <w:t xml:space="preserve"> </w:t>
      </w:r>
      <w:r w:rsidR="001A549A" w:rsidRPr="00631C1B">
        <w:t>in isolation and then immediately feeling pressured to start deliver</w:t>
      </w:r>
      <w:r w:rsidR="004A397E" w:rsidRPr="00631C1B">
        <w:t>y</w:t>
      </w:r>
    </w:p>
    <w:p w14:paraId="0BA4C4B0" w14:textId="46D1A14E" w:rsidR="00A25C16" w:rsidRPr="00631C1B" w:rsidRDefault="00434EFE" w:rsidP="00434EFE">
      <w:pPr>
        <w:pStyle w:val="ListBullet"/>
      </w:pPr>
      <w:r w:rsidRPr="00631C1B">
        <w:t>Find time to celebrate successes</w:t>
      </w:r>
      <w:r w:rsidR="003B00B2" w:rsidRPr="00631C1B">
        <w:t>, both for empowering and building the confidence of the participants</w:t>
      </w:r>
      <w:r w:rsidR="003A6590" w:rsidRPr="00631C1B">
        <w:t xml:space="preserve"> (e.g. through showcases and </w:t>
      </w:r>
      <w:r w:rsidR="00F0523B" w:rsidRPr="00631C1B">
        <w:t>exhibitions</w:t>
      </w:r>
      <w:r w:rsidR="003A6590" w:rsidRPr="00631C1B">
        <w:t>)</w:t>
      </w:r>
      <w:r w:rsidR="003B00B2" w:rsidRPr="00631C1B">
        <w:t xml:space="preserve">, but also the project’s </w:t>
      </w:r>
      <w:r w:rsidR="00857824" w:rsidRPr="00631C1B">
        <w:t xml:space="preserve">staff </w:t>
      </w:r>
      <w:r w:rsidR="009F14E0" w:rsidRPr="00631C1B">
        <w:t xml:space="preserve">teams. </w:t>
      </w:r>
      <w:r w:rsidR="00857824" w:rsidRPr="00631C1B">
        <w:t xml:space="preserve">One project </w:t>
      </w:r>
      <w:r w:rsidR="003A6590" w:rsidRPr="00631C1B">
        <w:t>spoke of how the efforts and flexibility of their staff needs to be give</w:t>
      </w:r>
      <w:r w:rsidR="004A397E" w:rsidRPr="00631C1B">
        <w:t>n</w:t>
      </w:r>
      <w:r w:rsidR="003A6590" w:rsidRPr="00631C1B">
        <w:t xml:space="preserve"> due celebration and thanks, motivating them to continue providing high quality support and care.</w:t>
      </w:r>
    </w:p>
    <w:p w14:paraId="1493F6D9" w14:textId="25394983" w:rsidR="00936163" w:rsidRPr="00631C1B" w:rsidRDefault="00A25C16" w:rsidP="00936163">
      <w:pPr>
        <w:pStyle w:val="Subheadingnonumber"/>
      </w:pPr>
      <w:r w:rsidRPr="00631C1B">
        <w:t>Open Fund</w:t>
      </w:r>
    </w:p>
    <w:p w14:paraId="5F5F5688" w14:textId="40C3674D" w:rsidR="00A25C16" w:rsidRPr="00631C1B" w:rsidRDefault="00CB2300" w:rsidP="00A25C16">
      <w:pPr>
        <w:pStyle w:val="ListBullet"/>
      </w:pPr>
      <w:r w:rsidRPr="00631C1B">
        <w:t>Several Open Fund projects suggested they would run</w:t>
      </w:r>
      <w:r w:rsidR="00A25C16" w:rsidRPr="00631C1B">
        <w:t xml:space="preserve"> smaller, more focused </w:t>
      </w:r>
      <w:r w:rsidR="00325247" w:rsidRPr="00631C1B">
        <w:t xml:space="preserve">activities if the </w:t>
      </w:r>
      <w:proofErr w:type="spellStart"/>
      <w:r w:rsidR="00325247" w:rsidRPr="00631C1B">
        <w:t>CashBack</w:t>
      </w:r>
      <w:proofErr w:type="spellEnd"/>
      <w:r w:rsidR="00325247" w:rsidRPr="00631C1B">
        <w:t xml:space="preserve"> for Creativity programme was to be repeated. Here </w:t>
      </w:r>
      <w:r w:rsidR="00A25C16" w:rsidRPr="00631C1B">
        <w:t xml:space="preserve">more time </w:t>
      </w:r>
      <w:r w:rsidR="00325247" w:rsidRPr="00631C1B">
        <w:t xml:space="preserve">would be </w:t>
      </w:r>
      <w:r w:rsidR="00A25C16" w:rsidRPr="00631C1B">
        <w:t>given to specific individual needs and personal development</w:t>
      </w:r>
      <w:r w:rsidR="00325247" w:rsidRPr="00631C1B">
        <w:t xml:space="preserve">. </w:t>
      </w:r>
    </w:p>
    <w:p w14:paraId="580320DA" w14:textId="5A5A1506" w:rsidR="00A25C16" w:rsidRPr="00631C1B" w:rsidRDefault="008972B3" w:rsidP="00A25C16">
      <w:pPr>
        <w:pStyle w:val="ListBullet"/>
      </w:pPr>
      <w:r w:rsidRPr="00631C1B">
        <w:t>Build materials and administrative time budgets into the one</w:t>
      </w:r>
      <w:r w:rsidR="0013006E" w:rsidRPr="00631C1B">
        <w:t xml:space="preserve"> funding</w:t>
      </w:r>
      <w:r w:rsidRPr="00631C1B">
        <w:t xml:space="preserve"> application to ensure all elements are in pla</w:t>
      </w:r>
      <w:r w:rsidR="0013006E" w:rsidRPr="00631C1B">
        <w:t xml:space="preserve">ce, </w:t>
      </w:r>
      <w:r w:rsidRPr="00631C1B">
        <w:t>reduc</w:t>
      </w:r>
      <w:r w:rsidR="0013006E" w:rsidRPr="00631C1B">
        <w:t>ing</w:t>
      </w:r>
      <w:r w:rsidRPr="00631C1B">
        <w:t xml:space="preserve"> risks inherent in the </w:t>
      </w:r>
      <w:r w:rsidR="0013006E" w:rsidRPr="00631C1B">
        <w:t>‘</w:t>
      </w:r>
      <w:r w:rsidRPr="00631C1B">
        <w:t>vagaries of Local Authority spending cuts</w:t>
      </w:r>
      <w:r w:rsidR="0013006E" w:rsidRPr="00631C1B">
        <w:t>,</w:t>
      </w:r>
      <w:r w:rsidRPr="00631C1B">
        <w:t xml:space="preserve"> restructuring and match funding complexity</w:t>
      </w:r>
      <w:r w:rsidR="0013006E" w:rsidRPr="00631C1B">
        <w:t>’</w:t>
      </w:r>
      <w:r w:rsidR="00DF2B38" w:rsidRPr="00631C1B">
        <w:t xml:space="preserve"> </w:t>
      </w:r>
    </w:p>
    <w:p w14:paraId="14513F4E" w14:textId="227BAB2D" w:rsidR="00936163" w:rsidRPr="00631C1B" w:rsidRDefault="00A25C16" w:rsidP="00A25C16">
      <w:pPr>
        <w:pStyle w:val="ListBullet"/>
      </w:pPr>
      <w:r w:rsidRPr="00631C1B">
        <w:t xml:space="preserve">Instil co-design throughout the project, with more reflection points for participants </w:t>
      </w:r>
      <w:r w:rsidR="001C4215" w:rsidRPr="00631C1B">
        <w:t xml:space="preserve">to both reflect on their progress, but also whether the </w:t>
      </w:r>
      <w:r w:rsidR="007C2EC3" w:rsidRPr="00631C1B">
        <w:t xml:space="preserve">adopted </w:t>
      </w:r>
      <w:r w:rsidR="001C4215" w:rsidRPr="00631C1B">
        <w:t xml:space="preserve">pedagogical approach is working </w:t>
      </w:r>
      <w:r w:rsidR="007C2EC3" w:rsidRPr="00631C1B">
        <w:t xml:space="preserve">effectively </w:t>
      </w:r>
      <w:r w:rsidR="001C4215" w:rsidRPr="00631C1B">
        <w:t xml:space="preserve">with the specific group or individuals </w:t>
      </w:r>
    </w:p>
    <w:p w14:paraId="4421E974" w14:textId="2CBE92C6" w:rsidR="00CE487E" w:rsidRPr="00631C1B" w:rsidRDefault="00CE487E" w:rsidP="00CE487E">
      <w:pPr>
        <w:pStyle w:val="Subheadingnonumber"/>
      </w:pPr>
      <w:r w:rsidRPr="00631C1B">
        <w:t>Key programme learning</w:t>
      </w:r>
      <w:r w:rsidR="00E2023F" w:rsidRPr="00631C1B">
        <w:t xml:space="preserve"> for future evaluation</w:t>
      </w:r>
      <w:r w:rsidRPr="00631C1B">
        <w:t xml:space="preserve"> </w:t>
      </w:r>
    </w:p>
    <w:p w14:paraId="2BE235D0" w14:textId="0324E9DE" w:rsidR="00CE487E" w:rsidRPr="00631C1B" w:rsidRDefault="00895F66" w:rsidP="00895F66">
      <w:pPr>
        <w:pStyle w:val="ListBullet"/>
      </w:pPr>
      <w:r w:rsidRPr="00631C1B">
        <w:t xml:space="preserve">Many organisations </w:t>
      </w:r>
      <w:r w:rsidR="00A87E9C" w:rsidRPr="00631C1B">
        <w:t>in</w:t>
      </w:r>
      <w:r w:rsidRPr="00631C1B">
        <w:t xml:space="preserve"> Phase 4</w:t>
      </w:r>
      <w:r w:rsidR="00D65D7C" w:rsidRPr="00631C1B">
        <w:t xml:space="preserve"> found the number of outcomes they were expected to report against </w:t>
      </w:r>
      <w:r w:rsidR="001269C4" w:rsidRPr="00631C1B">
        <w:t>difficult to manage</w:t>
      </w:r>
      <w:r w:rsidR="00A87E9C" w:rsidRPr="00631C1B">
        <w:t>, both in terms of programme design and monitoring and evaluation</w:t>
      </w:r>
      <w:r w:rsidR="008835C0" w:rsidRPr="00631C1B">
        <w:t>. An opportunity to select fewer, more specific and bespoke</w:t>
      </w:r>
      <w:r w:rsidR="00B5722F" w:rsidRPr="00631C1B">
        <w:t>,</w:t>
      </w:r>
      <w:r w:rsidR="008835C0" w:rsidRPr="00631C1B">
        <w:t xml:space="preserve"> outcomes against overarching programme impacts (set more generically) would be welcome</w:t>
      </w:r>
      <w:r w:rsidR="008B15F3" w:rsidRPr="00631C1B">
        <w:t>d</w:t>
      </w:r>
    </w:p>
    <w:p w14:paraId="57580B76" w14:textId="2E1DAE88" w:rsidR="00F26F22" w:rsidRPr="00631C1B" w:rsidRDefault="00F26F22" w:rsidP="00895F66">
      <w:pPr>
        <w:pStyle w:val="ListBullet"/>
      </w:pPr>
      <w:r w:rsidRPr="00631C1B">
        <w:t>This could be complemented with more resource for evaluation support at the project level</w:t>
      </w:r>
      <w:r w:rsidR="00275D70" w:rsidRPr="00631C1B">
        <w:t xml:space="preserve"> and </w:t>
      </w:r>
      <w:r w:rsidR="00D101C7" w:rsidRPr="00631C1B">
        <w:t xml:space="preserve">budget setting in </w:t>
      </w:r>
      <w:r w:rsidR="00275D70" w:rsidRPr="00631C1B">
        <w:t xml:space="preserve">general (e.g. </w:t>
      </w:r>
      <w:r w:rsidR="008B15F3" w:rsidRPr="00631C1B">
        <w:t>recommending</w:t>
      </w:r>
      <w:r w:rsidR="00D101C7" w:rsidRPr="00631C1B">
        <w:t xml:space="preserve"> funding for staff training and development </w:t>
      </w:r>
      <w:r w:rsidR="00C77F5C">
        <w:t>in monitoring and evaluation</w:t>
      </w:r>
      <w:r w:rsidR="008F77E0" w:rsidRPr="00631C1B">
        <w:t>, pre-delivery</w:t>
      </w:r>
      <w:r w:rsidR="00D101C7" w:rsidRPr="00631C1B">
        <w:t xml:space="preserve">) </w:t>
      </w:r>
    </w:p>
    <w:p w14:paraId="11B2A334" w14:textId="19F25559" w:rsidR="00B5722F" w:rsidRPr="00631C1B" w:rsidRDefault="00423154" w:rsidP="00895F66">
      <w:pPr>
        <w:pStyle w:val="ListBullet"/>
      </w:pPr>
      <w:r w:rsidRPr="00631C1B">
        <w:t>More flexibility in participant number targets would also be welcome</w:t>
      </w:r>
      <w:r w:rsidR="008B15F3" w:rsidRPr="00631C1B">
        <w:t>d</w:t>
      </w:r>
      <w:r w:rsidRPr="00631C1B">
        <w:t xml:space="preserve">. </w:t>
      </w:r>
      <w:r w:rsidR="00C1384F" w:rsidRPr="00631C1B">
        <w:t>Some</w:t>
      </w:r>
      <w:r w:rsidRPr="00631C1B">
        <w:t xml:space="preserve"> projects reported that they recruited </w:t>
      </w:r>
      <w:r w:rsidR="00C1384F" w:rsidRPr="00631C1B">
        <w:t>fewer participants because there was a greater appetite (and opportunity) for progression for existing participants</w:t>
      </w:r>
      <w:r w:rsidR="004C37C6" w:rsidRPr="00631C1B">
        <w:t xml:space="preserve">. </w:t>
      </w:r>
      <w:r w:rsidR="004C37C6" w:rsidRPr="00631C1B">
        <w:lastRenderedPageBreak/>
        <w:t>Others considered it a s</w:t>
      </w:r>
      <w:r w:rsidR="008B15F3" w:rsidRPr="00631C1B">
        <w:t>trong impact</w:t>
      </w:r>
      <w:r w:rsidR="004C37C6" w:rsidRPr="00631C1B">
        <w:t xml:space="preserve"> if they were able to unexpectedly attract </w:t>
      </w:r>
      <w:proofErr w:type="gramStart"/>
      <w:r w:rsidR="004C37C6" w:rsidRPr="00631C1B">
        <w:t>a large number of</w:t>
      </w:r>
      <w:proofErr w:type="gramEnd"/>
      <w:r w:rsidR="004C37C6" w:rsidRPr="00631C1B">
        <w:t xml:space="preserve"> young people </w:t>
      </w:r>
      <w:r w:rsidR="008B15F3" w:rsidRPr="00631C1B">
        <w:t>to</w:t>
      </w:r>
      <w:r w:rsidR="004C37C6" w:rsidRPr="00631C1B">
        <w:t xml:space="preserve"> a new activity. </w:t>
      </w:r>
      <w:r w:rsidR="00027F6B" w:rsidRPr="00631C1B">
        <w:t>Reconsidering how impact is defined (</w:t>
      </w:r>
      <w:r w:rsidR="0098646E" w:rsidRPr="00631C1B">
        <w:t xml:space="preserve">i.e. </w:t>
      </w:r>
      <w:r w:rsidR="00027F6B" w:rsidRPr="00631C1B">
        <w:t xml:space="preserve">towards meaningful change and away from </w:t>
      </w:r>
      <w:r w:rsidR="0098646E" w:rsidRPr="00631C1B">
        <w:t>participant numbers)</w:t>
      </w:r>
      <w:r w:rsidR="00027F6B" w:rsidRPr="00631C1B">
        <w:t xml:space="preserve"> would </w:t>
      </w:r>
      <w:r w:rsidR="00ED528B" w:rsidRPr="00631C1B">
        <w:t xml:space="preserve">also </w:t>
      </w:r>
      <w:r w:rsidR="00027F6B" w:rsidRPr="00631C1B">
        <w:t>encourage a stronger culture of evaluation at all levels</w:t>
      </w:r>
      <w:r w:rsidR="00EA0957" w:rsidRPr="00631C1B">
        <w:t>. Enabling projects to set ‘</w:t>
      </w:r>
      <w:r w:rsidR="00666C24" w:rsidRPr="00631C1B">
        <w:t xml:space="preserve">ceiling/floor </w:t>
      </w:r>
      <w:r w:rsidR="00EA0957" w:rsidRPr="00631C1B">
        <w:t>margins’ for expected participant numbers could be considered</w:t>
      </w:r>
    </w:p>
    <w:p w14:paraId="03C0F101" w14:textId="5372FB36" w:rsidR="008B1DE2" w:rsidRPr="00631C1B" w:rsidRDefault="008B1DE2" w:rsidP="00895F66">
      <w:pPr>
        <w:pStyle w:val="ListBullet"/>
      </w:pPr>
      <w:r w:rsidRPr="00631C1B">
        <w:t>Targeted Fund projects reported positive operational impacts from being brought together with others doing similar work for mutual learning</w:t>
      </w:r>
      <w:r w:rsidR="004A0383" w:rsidRPr="00631C1B">
        <w:t xml:space="preserve">, particularly when this could involve </w:t>
      </w:r>
      <w:r w:rsidR="007B205B" w:rsidRPr="00631C1B">
        <w:t xml:space="preserve">management </w:t>
      </w:r>
      <w:r w:rsidR="007B205B" w:rsidRPr="00631C1B">
        <w:rPr>
          <w:i/>
          <w:iCs/>
        </w:rPr>
        <w:t>and</w:t>
      </w:r>
      <w:r w:rsidR="007B205B" w:rsidRPr="00631C1B">
        <w:t xml:space="preserve"> </w:t>
      </w:r>
      <w:r w:rsidR="004A0383" w:rsidRPr="00631C1B">
        <w:t>delivery staff. Understanding the mechanisms that lead to positive</w:t>
      </w:r>
      <w:r w:rsidR="006B2F1D" w:rsidRPr="00631C1B">
        <w:t xml:space="preserve"> project</w:t>
      </w:r>
      <w:r w:rsidR="004A0383" w:rsidRPr="00631C1B">
        <w:t xml:space="preserve"> impact</w:t>
      </w:r>
      <w:r w:rsidR="007B205B" w:rsidRPr="00631C1B">
        <w:t xml:space="preserve"> in this way</w:t>
      </w:r>
      <w:r w:rsidR="004A0383" w:rsidRPr="00631C1B">
        <w:t xml:space="preserve"> could be advanced using a ‘community of practice’ approach among organisations with similar professional interests (e.g. across sectors within localities, or across localities within sectors)</w:t>
      </w:r>
    </w:p>
    <w:p w14:paraId="40535BC4" w14:textId="02ACB8FD" w:rsidR="007750ED" w:rsidRPr="00631C1B" w:rsidRDefault="008B1DE2" w:rsidP="00895F66">
      <w:pPr>
        <w:pStyle w:val="ListBullet"/>
      </w:pPr>
      <w:r w:rsidRPr="00631C1B">
        <w:t xml:space="preserve">A tension was identified between </w:t>
      </w:r>
      <w:r w:rsidR="00E2023F" w:rsidRPr="00631C1B">
        <w:t xml:space="preserve">generating </w:t>
      </w:r>
      <w:r w:rsidRPr="00631C1B">
        <w:t>positive news stories for promoting the ‘</w:t>
      </w:r>
      <w:proofErr w:type="spellStart"/>
      <w:r w:rsidRPr="00631C1B">
        <w:t>CashBack</w:t>
      </w:r>
      <w:proofErr w:type="spellEnd"/>
      <w:r w:rsidRPr="00631C1B">
        <w:t xml:space="preserve"> for Creativit</w:t>
      </w:r>
      <w:r w:rsidR="00E2023F" w:rsidRPr="00631C1B">
        <w:t>y</w:t>
      </w:r>
      <w:r w:rsidR="003E7DFF" w:rsidRPr="00631C1B">
        <w:t>’</w:t>
      </w:r>
      <w:r w:rsidRPr="00631C1B">
        <w:t xml:space="preserve"> brand </w:t>
      </w:r>
      <w:r w:rsidR="003E7DFF" w:rsidRPr="00631C1B">
        <w:t xml:space="preserve">and ability to report </w:t>
      </w:r>
      <w:r w:rsidR="004138CE" w:rsidRPr="00631C1B">
        <w:t xml:space="preserve">critical </w:t>
      </w:r>
      <w:r w:rsidR="003E7DFF" w:rsidRPr="00631C1B">
        <w:t xml:space="preserve">learning or negative impact. This should also be considered in </w:t>
      </w:r>
      <w:r w:rsidR="000A65D0" w:rsidRPr="00631C1B">
        <w:t>programme marketing, communication</w:t>
      </w:r>
      <w:r w:rsidR="004138CE" w:rsidRPr="00631C1B">
        <w:t>s and advocacy plans</w:t>
      </w:r>
      <w:r w:rsidR="00A7348B" w:rsidRPr="00631C1B">
        <w:t xml:space="preserve"> and expectations</w:t>
      </w:r>
      <w:r w:rsidR="00B560C8" w:rsidRPr="00631C1B">
        <w:t>, and kept separate where possible.</w:t>
      </w:r>
    </w:p>
    <w:p w14:paraId="60D514F9" w14:textId="5E86F3E7" w:rsidR="0073618A" w:rsidRPr="00631C1B" w:rsidRDefault="00FE6DDF">
      <w:pPr>
        <w:pStyle w:val="Headingnonumber"/>
      </w:pPr>
      <w:bookmarkStart w:id="53" w:name="_Toc43980028"/>
      <w:r w:rsidRPr="00631C1B">
        <w:lastRenderedPageBreak/>
        <w:t>Appendices</w:t>
      </w:r>
      <w:bookmarkEnd w:id="53"/>
      <w:r w:rsidRPr="00631C1B">
        <w:t xml:space="preserve"> </w:t>
      </w:r>
    </w:p>
    <w:p w14:paraId="280FF838" w14:textId="77777777" w:rsidR="00102B25" w:rsidRPr="00631C1B" w:rsidRDefault="00102B25" w:rsidP="00200578">
      <w:pPr>
        <w:pStyle w:val="BodyText"/>
        <w:sectPr w:rsidR="00102B25" w:rsidRPr="00631C1B" w:rsidSect="00A508FD">
          <w:type w:val="continuous"/>
          <w:pgSz w:w="16838" w:h="11906" w:orient="landscape"/>
          <w:pgMar w:top="1440" w:right="964" w:bottom="1440" w:left="964" w:header="709" w:footer="709" w:gutter="0"/>
          <w:cols w:num="2" w:space="708"/>
          <w:docGrid w:linePitch="360"/>
        </w:sectPr>
      </w:pPr>
    </w:p>
    <w:p w14:paraId="5E53A9BF" w14:textId="570C8262" w:rsidR="00102B25" w:rsidRPr="00631C1B" w:rsidRDefault="00102B25" w:rsidP="00200578">
      <w:pPr>
        <w:pStyle w:val="Caption"/>
      </w:pPr>
      <w:bookmarkStart w:id="54" w:name="_Toc42266754"/>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19</w:t>
      </w:r>
      <w:r w:rsidRPr="00631C1B">
        <w:rPr>
          <w:noProof/>
        </w:rPr>
        <w:fldChar w:fldCharType="end"/>
      </w:r>
      <w:r w:rsidRPr="00631C1B">
        <w:t xml:space="preserve">  </w:t>
      </w:r>
      <w:proofErr w:type="spellStart"/>
      <w:r w:rsidR="00281FAF" w:rsidRPr="00631C1B">
        <w:t>CashBack</w:t>
      </w:r>
      <w:proofErr w:type="spellEnd"/>
      <w:r w:rsidRPr="00631C1B">
        <w:t xml:space="preserve"> for Creativity Open Fund </w:t>
      </w:r>
      <w:r w:rsidR="00C216AF" w:rsidRPr="00631C1B">
        <w:t xml:space="preserve">Year 3 </w:t>
      </w:r>
      <w:r w:rsidRPr="00631C1B">
        <w:t>organisations</w:t>
      </w:r>
      <w:r w:rsidR="00AB70FB" w:rsidRPr="00631C1B">
        <w:t xml:space="preserve"> - spend</w:t>
      </w:r>
      <w:r w:rsidRPr="00631C1B">
        <w:t xml:space="preserve"> </w:t>
      </w:r>
      <w:r w:rsidR="00790C6E" w:rsidRPr="00631C1B">
        <w:t xml:space="preserve">by </w:t>
      </w:r>
      <w:r w:rsidR="00291E2B" w:rsidRPr="00631C1B">
        <w:t>organisation</w:t>
      </w:r>
      <w:bookmarkEnd w:id="54"/>
    </w:p>
    <w:tbl>
      <w:tblPr>
        <w:tblStyle w:val="BOPtable"/>
        <w:tblW w:w="5000" w:type="pct"/>
        <w:tblLook w:val="04A0" w:firstRow="1" w:lastRow="0" w:firstColumn="1" w:lastColumn="0" w:noHBand="0" w:noVBand="1"/>
      </w:tblPr>
      <w:tblGrid>
        <w:gridCol w:w="5672"/>
        <w:gridCol w:w="4923"/>
        <w:gridCol w:w="4315"/>
      </w:tblGrid>
      <w:tr w:rsidR="00D66061" w:rsidRPr="00631C1B" w14:paraId="47479111" w14:textId="14247029" w:rsidTr="00C77F5C">
        <w:trPr>
          <w:cnfStyle w:val="100000000000" w:firstRow="1" w:lastRow="0" w:firstColumn="0" w:lastColumn="0" w:oddVBand="0" w:evenVBand="0" w:oddHBand="0" w:evenHBand="0" w:firstRowFirstColumn="0" w:firstRowLastColumn="0" w:lastRowFirstColumn="0" w:lastRowLastColumn="0"/>
          <w:trHeight w:val="79"/>
        </w:trPr>
        <w:tc>
          <w:tcPr>
            <w:tcW w:w="1902" w:type="pct"/>
          </w:tcPr>
          <w:p w14:paraId="4AA3EF75" w14:textId="6A514B31" w:rsidR="00D66061" w:rsidRPr="00631C1B" w:rsidRDefault="00D66061" w:rsidP="00200578">
            <w:r w:rsidRPr="00631C1B">
              <w:t>Organisation</w:t>
            </w:r>
          </w:p>
        </w:tc>
        <w:tc>
          <w:tcPr>
            <w:tcW w:w="1651" w:type="pct"/>
          </w:tcPr>
          <w:p w14:paraId="0E264B00" w14:textId="19A9A1F9" w:rsidR="00D66061" w:rsidRPr="00631C1B" w:rsidRDefault="002E6069" w:rsidP="00200578">
            <w:r w:rsidRPr="00631C1B">
              <w:t>Lo</w:t>
            </w:r>
            <w:r w:rsidR="00FD507D" w:rsidRPr="00631C1B">
              <w:t>cal Authority</w:t>
            </w:r>
          </w:p>
        </w:tc>
        <w:tc>
          <w:tcPr>
            <w:tcW w:w="1447" w:type="pct"/>
          </w:tcPr>
          <w:p w14:paraId="5D45C398" w14:textId="58F09D03" w:rsidR="002E6069" w:rsidRPr="00631C1B" w:rsidRDefault="00A26902" w:rsidP="00200578">
            <w:r w:rsidRPr="00631C1B">
              <w:t xml:space="preserve">Actual </w:t>
            </w:r>
            <w:r w:rsidR="004257F7" w:rsidRPr="00631C1B">
              <w:t>spend</w:t>
            </w:r>
          </w:p>
        </w:tc>
      </w:tr>
      <w:tr w:rsidR="00956802" w:rsidRPr="00631C1B" w14:paraId="675F2B7B" w14:textId="77777777" w:rsidTr="00C77F5C">
        <w:trPr>
          <w:trHeight w:val="208"/>
        </w:trPr>
        <w:tc>
          <w:tcPr>
            <w:tcW w:w="1902" w:type="pct"/>
          </w:tcPr>
          <w:p w14:paraId="7E323835" w14:textId="620CD2B0" w:rsidR="00956802" w:rsidRPr="00631C1B" w:rsidRDefault="00956802" w:rsidP="002A7E56">
            <w:r w:rsidRPr="00631C1B">
              <w:rPr>
                <w:lang w:eastAsia="en-GB"/>
              </w:rPr>
              <w:t>Modo - Circus with Purpose</w:t>
            </w:r>
          </w:p>
        </w:tc>
        <w:tc>
          <w:tcPr>
            <w:tcW w:w="1651" w:type="pct"/>
          </w:tcPr>
          <w:p w14:paraId="67A348DB" w14:textId="32978AA8" w:rsidR="00956802" w:rsidRPr="00631C1B" w:rsidRDefault="00956802" w:rsidP="002A7E56">
            <w:r w:rsidRPr="00631C1B">
              <w:rPr>
                <w:lang w:eastAsia="en-GB"/>
              </w:rPr>
              <w:t>Aberdeenshire</w:t>
            </w:r>
          </w:p>
        </w:tc>
        <w:tc>
          <w:tcPr>
            <w:tcW w:w="1447" w:type="pct"/>
          </w:tcPr>
          <w:p w14:paraId="7E2EE048" w14:textId="5CD34C30" w:rsidR="00956802" w:rsidRPr="00631C1B" w:rsidRDefault="00956802" w:rsidP="002A7E56">
            <w:r w:rsidRPr="00631C1B">
              <w:rPr>
                <w:lang w:eastAsia="en-GB"/>
              </w:rPr>
              <w:t>£8,000.00</w:t>
            </w:r>
          </w:p>
        </w:tc>
      </w:tr>
      <w:tr w:rsidR="00956802" w:rsidRPr="00631C1B" w14:paraId="529626BF" w14:textId="77777777" w:rsidTr="00C77F5C">
        <w:trPr>
          <w:trHeight w:val="34"/>
        </w:trPr>
        <w:tc>
          <w:tcPr>
            <w:tcW w:w="1902" w:type="pct"/>
          </w:tcPr>
          <w:p w14:paraId="4913FB4E" w14:textId="2E6B9CC7" w:rsidR="00956802" w:rsidRPr="00631C1B" w:rsidRDefault="00956802" w:rsidP="002A7E56">
            <w:r w:rsidRPr="00631C1B">
              <w:rPr>
                <w:lang w:eastAsia="en-GB"/>
              </w:rPr>
              <w:t>Showcase the Street</w:t>
            </w:r>
          </w:p>
        </w:tc>
        <w:tc>
          <w:tcPr>
            <w:tcW w:w="1651" w:type="pct"/>
          </w:tcPr>
          <w:p w14:paraId="1E9CAF36" w14:textId="01DF28BB" w:rsidR="00956802" w:rsidRPr="00631C1B" w:rsidRDefault="00956802" w:rsidP="002A7E56">
            <w:r w:rsidRPr="00631C1B">
              <w:rPr>
                <w:lang w:eastAsia="en-GB"/>
              </w:rPr>
              <w:t>Angus</w:t>
            </w:r>
          </w:p>
        </w:tc>
        <w:tc>
          <w:tcPr>
            <w:tcW w:w="1447" w:type="pct"/>
          </w:tcPr>
          <w:p w14:paraId="7BFA7637" w14:textId="1F82FC7A" w:rsidR="00956802" w:rsidRPr="00631C1B" w:rsidRDefault="00956802" w:rsidP="002A7E56">
            <w:r w:rsidRPr="00631C1B">
              <w:rPr>
                <w:lang w:eastAsia="en-GB"/>
              </w:rPr>
              <w:t>£6,252.00 </w:t>
            </w:r>
          </w:p>
        </w:tc>
      </w:tr>
      <w:tr w:rsidR="00956802" w:rsidRPr="00631C1B" w14:paraId="1E2ED91A" w14:textId="77777777" w:rsidTr="00C77F5C">
        <w:trPr>
          <w:trHeight w:val="79"/>
        </w:trPr>
        <w:tc>
          <w:tcPr>
            <w:tcW w:w="1902" w:type="pct"/>
          </w:tcPr>
          <w:p w14:paraId="65595682" w14:textId="35082BFD" w:rsidR="00956802" w:rsidRPr="00631C1B" w:rsidRDefault="00956802" w:rsidP="002A7E56">
            <w:r w:rsidRPr="00631C1B">
              <w:rPr>
                <w:lang w:eastAsia="en-GB"/>
              </w:rPr>
              <w:t>Barnardo's </w:t>
            </w:r>
          </w:p>
        </w:tc>
        <w:tc>
          <w:tcPr>
            <w:tcW w:w="1651" w:type="pct"/>
          </w:tcPr>
          <w:p w14:paraId="2F58B35C" w14:textId="5A0E1961" w:rsidR="00956802" w:rsidRPr="00631C1B" w:rsidRDefault="00956802" w:rsidP="002A7E56">
            <w:r w:rsidRPr="00631C1B">
              <w:rPr>
                <w:lang w:eastAsia="en-GB"/>
              </w:rPr>
              <w:t>Angus</w:t>
            </w:r>
          </w:p>
        </w:tc>
        <w:tc>
          <w:tcPr>
            <w:tcW w:w="1447" w:type="pct"/>
          </w:tcPr>
          <w:p w14:paraId="78E5AD1B" w14:textId="52A3219F" w:rsidR="00956802" w:rsidRPr="00631C1B" w:rsidRDefault="00956802" w:rsidP="002A7E56">
            <w:r w:rsidRPr="00631C1B">
              <w:rPr>
                <w:lang w:eastAsia="en-GB"/>
              </w:rPr>
              <w:t>£6,200.00 </w:t>
            </w:r>
          </w:p>
        </w:tc>
      </w:tr>
      <w:tr w:rsidR="00956802" w:rsidRPr="00631C1B" w14:paraId="6EBBB779" w14:textId="77777777" w:rsidTr="00C77F5C">
        <w:trPr>
          <w:trHeight w:val="79"/>
        </w:trPr>
        <w:tc>
          <w:tcPr>
            <w:tcW w:w="1902" w:type="pct"/>
          </w:tcPr>
          <w:p w14:paraId="064B6A54" w14:textId="12426398" w:rsidR="00956802" w:rsidRPr="00631C1B" w:rsidRDefault="00956802" w:rsidP="002A7E56">
            <w:proofErr w:type="spellStart"/>
            <w:r w:rsidRPr="00631C1B">
              <w:rPr>
                <w:lang w:eastAsia="en-GB"/>
              </w:rPr>
              <w:t>Campbeltown</w:t>
            </w:r>
            <w:proofErr w:type="spellEnd"/>
            <w:r w:rsidRPr="00631C1B">
              <w:rPr>
                <w:lang w:eastAsia="en-GB"/>
              </w:rPr>
              <w:t xml:space="preserve"> Community Business Ltd T/A </w:t>
            </w:r>
            <w:proofErr w:type="spellStart"/>
            <w:r w:rsidRPr="00631C1B">
              <w:rPr>
                <w:lang w:eastAsia="en-GB"/>
              </w:rPr>
              <w:t>Campbeltown</w:t>
            </w:r>
            <w:proofErr w:type="spellEnd"/>
            <w:r w:rsidRPr="00631C1B">
              <w:rPr>
                <w:lang w:eastAsia="en-GB"/>
              </w:rPr>
              <w:t xml:space="preserve"> Picture House</w:t>
            </w:r>
          </w:p>
        </w:tc>
        <w:tc>
          <w:tcPr>
            <w:tcW w:w="1651" w:type="pct"/>
          </w:tcPr>
          <w:p w14:paraId="163ACE9E" w14:textId="3027AC71" w:rsidR="00956802" w:rsidRPr="00631C1B" w:rsidRDefault="00956802" w:rsidP="002A7E56">
            <w:r w:rsidRPr="00631C1B">
              <w:rPr>
                <w:lang w:eastAsia="en-GB"/>
              </w:rPr>
              <w:t>Argyll and Bute</w:t>
            </w:r>
          </w:p>
        </w:tc>
        <w:tc>
          <w:tcPr>
            <w:tcW w:w="1447" w:type="pct"/>
          </w:tcPr>
          <w:p w14:paraId="69153C6B" w14:textId="4CDEB6F6" w:rsidR="00956802" w:rsidRPr="00631C1B" w:rsidRDefault="00956802" w:rsidP="002A7E56">
            <w:r w:rsidRPr="00631C1B">
              <w:rPr>
                <w:lang w:eastAsia="en-GB"/>
              </w:rPr>
              <w:t>£9,920.00 </w:t>
            </w:r>
          </w:p>
        </w:tc>
      </w:tr>
      <w:tr w:rsidR="00956802" w:rsidRPr="00631C1B" w14:paraId="42620359" w14:textId="77777777" w:rsidTr="00C77F5C">
        <w:trPr>
          <w:trHeight w:val="79"/>
        </w:trPr>
        <w:tc>
          <w:tcPr>
            <w:tcW w:w="1902" w:type="pct"/>
          </w:tcPr>
          <w:p w14:paraId="327A9EA9" w14:textId="67931055" w:rsidR="00956802" w:rsidRPr="00631C1B" w:rsidRDefault="00956802" w:rsidP="002A7E56">
            <w:proofErr w:type="spellStart"/>
            <w:r w:rsidRPr="00631C1B">
              <w:rPr>
                <w:lang w:eastAsia="en-GB"/>
              </w:rPr>
              <w:t>CHArts</w:t>
            </w:r>
            <w:proofErr w:type="spellEnd"/>
          </w:p>
        </w:tc>
        <w:tc>
          <w:tcPr>
            <w:tcW w:w="1651" w:type="pct"/>
          </w:tcPr>
          <w:p w14:paraId="25257D0F" w14:textId="1B036819" w:rsidR="00956802" w:rsidRPr="00631C1B" w:rsidRDefault="00956802" w:rsidP="002A7E56">
            <w:r w:rsidRPr="00631C1B">
              <w:rPr>
                <w:lang w:eastAsia="en-GB"/>
              </w:rPr>
              <w:t>Argyll and Bute</w:t>
            </w:r>
          </w:p>
        </w:tc>
        <w:tc>
          <w:tcPr>
            <w:tcW w:w="1447" w:type="pct"/>
          </w:tcPr>
          <w:p w14:paraId="2A3B5CC0" w14:textId="6A71C1CB" w:rsidR="00956802" w:rsidRPr="00631C1B" w:rsidRDefault="00956802" w:rsidP="002A7E56">
            <w:r w:rsidRPr="00631C1B">
              <w:rPr>
                <w:lang w:eastAsia="en-GB"/>
              </w:rPr>
              <w:t>£10,000.00 </w:t>
            </w:r>
          </w:p>
        </w:tc>
      </w:tr>
      <w:tr w:rsidR="00956802" w:rsidRPr="00631C1B" w14:paraId="524CFB63" w14:textId="77777777" w:rsidTr="00C77F5C">
        <w:trPr>
          <w:trHeight w:val="79"/>
        </w:trPr>
        <w:tc>
          <w:tcPr>
            <w:tcW w:w="1902" w:type="pct"/>
          </w:tcPr>
          <w:p w14:paraId="45273FC1" w14:textId="10E66233" w:rsidR="00956802" w:rsidRPr="00631C1B" w:rsidRDefault="00956802" w:rsidP="002A7E56">
            <w:proofErr w:type="spellStart"/>
            <w:r w:rsidRPr="00631C1B">
              <w:rPr>
                <w:lang w:eastAsia="en-GB"/>
              </w:rPr>
              <w:t>Muirhouse</w:t>
            </w:r>
            <w:proofErr w:type="spellEnd"/>
            <w:r w:rsidRPr="00631C1B">
              <w:rPr>
                <w:lang w:eastAsia="en-GB"/>
              </w:rPr>
              <w:t xml:space="preserve"> Youth Development Group</w:t>
            </w:r>
          </w:p>
        </w:tc>
        <w:tc>
          <w:tcPr>
            <w:tcW w:w="1651" w:type="pct"/>
          </w:tcPr>
          <w:p w14:paraId="0DC5A176" w14:textId="4C533FDB" w:rsidR="00956802" w:rsidRPr="00631C1B" w:rsidRDefault="00956802" w:rsidP="002A7E56">
            <w:r w:rsidRPr="00631C1B">
              <w:rPr>
                <w:lang w:eastAsia="en-GB"/>
              </w:rPr>
              <w:t>City of Edinburgh</w:t>
            </w:r>
          </w:p>
        </w:tc>
        <w:tc>
          <w:tcPr>
            <w:tcW w:w="1447" w:type="pct"/>
          </w:tcPr>
          <w:p w14:paraId="71CFF73E" w14:textId="5A9FD52D" w:rsidR="00956802" w:rsidRPr="00631C1B" w:rsidRDefault="00956802" w:rsidP="002A7E56">
            <w:pPr>
              <w:rPr>
                <w:rFonts w:ascii="Times New Roman" w:hAnsi="Times New Roman" w:cs="Times New Roman"/>
                <w:lang w:eastAsia="en-GB"/>
              </w:rPr>
            </w:pPr>
            <w:r w:rsidRPr="00631C1B">
              <w:rPr>
                <w:lang w:eastAsia="en-GB"/>
              </w:rPr>
              <w:t>£4,148.00 </w:t>
            </w:r>
          </w:p>
        </w:tc>
      </w:tr>
      <w:tr w:rsidR="00956802" w:rsidRPr="00631C1B" w14:paraId="435C08D5" w14:textId="77777777" w:rsidTr="00C77F5C">
        <w:trPr>
          <w:trHeight w:val="79"/>
        </w:trPr>
        <w:tc>
          <w:tcPr>
            <w:tcW w:w="1902" w:type="pct"/>
          </w:tcPr>
          <w:p w14:paraId="6E54D429" w14:textId="7F9CA835" w:rsidR="00956802" w:rsidRPr="00631C1B" w:rsidRDefault="00956802" w:rsidP="002A7E56">
            <w:r w:rsidRPr="00631C1B">
              <w:rPr>
                <w:lang w:eastAsia="en-GB"/>
              </w:rPr>
              <w:t>The Big Project</w:t>
            </w:r>
          </w:p>
        </w:tc>
        <w:tc>
          <w:tcPr>
            <w:tcW w:w="1651" w:type="pct"/>
          </w:tcPr>
          <w:p w14:paraId="475C28DF" w14:textId="3EB8D890" w:rsidR="00956802" w:rsidRPr="00631C1B" w:rsidRDefault="00956802" w:rsidP="002A7E56">
            <w:r w:rsidRPr="00631C1B">
              <w:rPr>
                <w:lang w:eastAsia="en-GB"/>
              </w:rPr>
              <w:t>City of Edinburgh</w:t>
            </w:r>
          </w:p>
        </w:tc>
        <w:tc>
          <w:tcPr>
            <w:tcW w:w="1447" w:type="pct"/>
          </w:tcPr>
          <w:p w14:paraId="3598D625" w14:textId="375B2B9F" w:rsidR="00956802" w:rsidRPr="00631C1B" w:rsidRDefault="00956802" w:rsidP="002A7E56">
            <w:r w:rsidRPr="00631C1B">
              <w:rPr>
                <w:lang w:eastAsia="en-GB"/>
              </w:rPr>
              <w:t>£3,388.00 </w:t>
            </w:r>
          </w:p>
        </w:tc>
      </w:tr>
      <w:tr w:rsidR="00956802" w:rsidRPr="00631C1B" w14:paraId="59F61B4C" w14:textId="77777777" w:rsidTr="00C77F5C">
        <w:trPr>
          <w:trHeight w:val="79"/>
        </w:trPr>
        <w:tc>
          <w:tcPr>
            <w:tcW w:w="1902" w:type="pct"/>
          </w:tcPr>
          <w:p w14:paraId="3CCBA07B" w14:textId="752B96F9" w:rsidR="00956802" w:rsidRPr="00631C1B" w:rsidRDefault="00956802" w:rsidP="002A7E56">
            <w:r w:rsidRPr="00631C1B">
              <w:rPr>
                <w:lang w:eastAsia="en-GB"/>
              </w:rPr>
              <w:t>WHALE Arts Agency</w:t>
            </w:r>
          </w:p>
        </w:tc>
        <w:tc>
          <w:tcPr>
            <w:tcW w:w="1651" w:type="pct"/>
          </w:tcPr>
          <w:p w14:paraId="6AD86500" w14:textId="49E47775" w:rsidR="00956802" w:rsidRPr="00631C1B" w:rsidRDefault="00956802" w:rsidP="002A7E56">
            <w:r w:rsidRPr="00631C1B">
              <w:rPr>
                <w:lang w:eastAsia="en-GB"/>
              </w:rPr>
              <w:t>City of Edinburgh</w:t>
            </w:r>
          </w:p>
        </w:tc>
        <w:tc>
          <w:tcPr>
            <w:tcW w:w="1447" w:type="pct"/>
          </w:tcPr>
          <w:p w14:paraId="0AA7946F" w14:textId="5ADB5142" w:rsidR="00956802" w:rsidRPr="00631C1B" w:rsidRDefault="00956802" w:rsidP="002A7E56">
            <w:r w:rsidRPr="00631C1B">
              <w:rPr>
                <w:lang w:eastAsia="en-GB"/>
              </w:rPr>
              <w:t>£</w:t>
            </w:r>
            <w:r w:rsidR="00206997">
              <w:rPr>
                <w:lang w:eastAsia="en-GB"/>
              </w:rPr>
              <w:t>5</w:t>
            </w:r>
            <w:r w:rsidRPr="00631C1B">
              <w:rPr>
                <w:lang w:eastAsia="en-GB"/>
              </w:rPr>
              <w:t>,697.00 </w:t>
            </w:r>
          </w:p>
        </w:tc>
      </w:tr>
      <w:tr w:rsidR="00956802" w:rsidRPr="00631C1B" w14:paraId="7351AD70" w14:textId="77777777" w:rsidTr="00C77F5C">
        <w:trPr>
          <w:trHeight w:val="79"/>
        </w:trPr>
        <w:tc>
          <w:tcPr>
            <w:tcW w:w="1902" w:type="pct"/>
          </w:tcPr>
          <w:p w14:paraId="51821C8F" w14:textId="7C550AA0" w:rsidR="00956802" w:rsidRPr="00631C1B" w:rsidRDefault="00956802" w:rsidP="002A7E56">
            <w:proofErr w:type="spellStart"/>
            <w:r w:rsidRPr="00631C1B">
              <w:rPr>
                <w:lang w:eastAsia="en-GB"/>
              </w:rPr>
              <w:t>Gilmerton</w:t>
            </w:r>
            <w:proofErr w:type="spellEnd"/>
            <w:r w:rsidRPr="00631C1B">
              <w:rPr>
                <w:lang w:eastAsia="en-GB"/>
              </w:rPr>
              <w:t xml:space="preserve"> Community Centre Association/Reel Youth Media</w:t>
            </w:r>
          </w:p>
        </w:tc>
        <w:tc>
          <w:tcPr>
            <w:tcW w:w="1651" w:type="pct"/>
          </w:tcPr>
          <w:p w14:paraId="078E6DA6" w14:textId="0605D54F" w:rsidR="00956802" w:rsidRPr="00631C1B" w:rsidRDefault="00956802" w:rsidP="002A7E56">
            <w:r w:rsidRPr="00631C1B">
              <w:rPr>
                <w:lang w:eastAsia="en-GB"/>
              </w:rPr>
              <w:t>City of Edinburgh</w:t>
            </w:r>
          </w:p>
        </w:tc>
        <w:tc>
          <w:tcPr>
            <w:tcW w:w="1447" w:type="pct"/>
          </w:tcPr>
          <w:p w14:paraId="7E1128A8" w14:textId="25B41776" w:rsidR="00956802" w:rsidRPr="00631C1B" w:rsidRDefault="00956802" w:rsidP="002A7E56">
            <w:r w:rsidRPr="00631C1B">
              <w:rPr>
                <w:lang w:eastAsia="en-GB"/>
              </w:rPr>
              <w:t>£6,100.00 </w:t>
            </w:r>
          </w:p>
        </w:tc>
      </w:tr>
      <w:tr w:rsidR="00956802" w:rsidRPr="00631C1B" w14:paraId="4BAFA466" w14:textId="77777777" w:rsidTr="00C77F5C">
        <w:trPr>
          <w:trHeight w:val="79"/>
        </w:trPr>
        <w:tc>
          <w:tcPr>
            <w:tcW w:w="1902" w:type="pct"/>
          </w:tcPr>
          <w:p w14:paraId="1F779DFF" w14:textId="347C8514" w:rsidR="00956802" w:rsidRPr="00631C1B" w:rsidRDefault="00956802" w:rsidP="002A7E56">
            <w:r w:rsidRPr="00631C1B">
              <w:rPr>
                <w:lang w:eastAsia="en-GB"/>
              </w:rPr>
              <w:t>Edinburgh City Youth Cafe</w:t>
            </w:r>
          </w:p>
        </w:tc>
        <w:tc>
          <w:tcPr>
            <w:tcW w:w="1651" w:type="pct"/>
          </w:tcPr>
          <w:p w14:paraId="4AF5004D" w14:textId="79DBFECD" w:rsidR="00956802" w:rsidRPr="00631C1B" w:rsidRDefault="00956802" w:rsidP="002A7E56">
            <w:r w:rsidRPr="00631C1B">
              <w:rPr>
                <w:lang w:eastAsia="en-GB"/>
              </w:rPr>
              <w:t>City of Edinburgh</w:t>
            </w:r>
          </w:p>
        </w:tc>
        <w:tc>
          <w:tcPr>
            <w:tcW w:w="1447" w:type="pct"/>
          </w:tcPr>
          <w:p w14:paraId="34195A72" w14:textId="1F24F35D" w:rsidR="00956802" w:rsidRPr="00631C1B" w:rsidRDefault="00956802" w:rsidP="002A7E56">
            <w:r w:rsidRPr="00631C1B">
              <w:rPr>
                <w:lang w:eastAsia="en-GB"/>
              </w:rPr>
              <w:t>£1,125.00 </w:t>
            </w:r>
          </w:p>
        </w:tc>
      </w:tr>
      <w:tr w:rsidR="00956802" w:rsidRPr="00631C1B" w14:paraId="0B9B7144" w14:textId="77777777" w:rsidTr="00C77F5C">
        <w:trPr>
          <w:trHeight w:val="79"/>
        </w:trPr>
        <w:tc>
          <w:tcPr>
            <w:tcW w:w="1902" w:type="pct"/>
          </w:tcPr>
          <w:p w14:paraId="2C42C6DB" w14:textId="0F20ECE1" w:rsidR="00956802" w:rsidRPr="00631C1B" w:rsidRDefault="00956802" w:rsidP="002A7E56">
            <w:r w:rsidRPr="00631C1B">
              <w:rPr>
                <w:lang w:eastAsia="en-GB"/>
              </w:rPr>
              <w:t>Ochil Youths Community Improvement CIC</w:t>
            </w:r>
          </w:p>
        </w:tc>
        <w:tc>
          <w:tcPr>
            <w:tcW w:w="1651" w:type="pct"/>
          </w:tcPr>
          <w:p w14:paraId="18D38552" w14:textId="493F932B" w:rsidR="00956802" w:rsidRPr="00631C1B" w:rsidRDefault="00956802" w:rsidP="002A7E56">
            <w:r w:rsidRPr="00631C1B">
              <w:rPr>
                <w:lang w:eastAsia="en-GB"/>
              </w:rPr>
              <w:t>Clackmannanshire</w:t>
            </w:r>
          </w:p>
        </w:tc>
        <w:tc>
          <w:tcPr>
            <w:tcW w:w="1447" w:type="pct"/>
          </w:tcPr>
          <w:p w14:paraId="05AE5264" w14:textId="6B474679" w:rsidR="00956802" w:rsidRPr="00631C1B" w:rsidRDefault="00956802" w:rsidP="002A7E56">
            <w:r w:rsidRPr="00631C1B">
              <w:rPr>
                <w:lang w:eastAsia="en-GB"/>
              </w:rPr>
              <w:t>£9,510.00 </w:t>
            </w:r>
          </w:p>
        </w:tc>
      </w:tr>
      <w:tr w:rsidR="00956802" w:rsidRPr="00631C1B" w14:paraId="2564B9D0" w14:textId="77777777" w:rsidTr="00C77F5C">
        <w:trPr>
          <w:trHeight w:val="79"/>
        </w:trPr>
        <w:tc>
          <w:tcPr>
            <w:tcW w:w="1902" w:type="pct"/>
          </w:tcPr>
          <w:p w14:paraId="6554F440" w14:textId="20C51628" w:rsidR="00956802" w:rsidRPr="00631C1B" w:rsidRDefault="00956802" w:rsidP="002A7E56">
            <w:pPr>
              <w:rPr>
                <w:rFonts w:ascii="Times New Roman" w:hAnsi="Times New Roman" w:cs="Times New Roman"/>
                <w:lang w:eastAsia="en-GB"/>
              </w:rPr>
            </w:pPr>
            <w:r w:rsidRPr="00631C1B">
              <w:rPr>
                <w:lang w:eastAsia="en-GB"/>
              </w:rPr>
              <w:t>Better Lives Partnership</w:t>
            </w:r>
          </w:p>
        </w:tc>
        <w:tc>
          <w:tcPr>
            <w:tcW w:w="1651" w:type="pct"/>
          </w:tcPr>
          <w:p w14:paraId="072B1E16" w14:textId="5F7ACA58" w:rsidR="00956802" w:rsidRPr="00631C1B" w:rsidRDefault="00956802" w:rsidP="002A7E56">
            <w:r w:rsidRPr="00631C1B">
              <w:rPr>
                <w:lang w:eastAsia="en-GB"/>
              </w:rPr>
              <w:t>Dumfries and Galloway</w:t>
            </w:r>
          </w:p>
        </w:tc>
        <w:tc>
          <w:tcPr>
            <w:tcW w:w="1447" w:type="pct"/>
          </w:tcPr>
          <w:p w14:paraId="1C2DD583" w14:textId="26017F52" w:rsidR="00956802" w:rsidRPr="00631C1B" w:rsidRDefault="00956802" w:rsidP="002A7E56">
            <w:r w:rsidRPr="00631C1B">
              <w:rPr>
                <w:lang w:eastAsia="en-GB"/>
              </w:rPr>
              <w:t>£10,000.00 </w:t>
            </w:r>
          </w:p>
        </w:tc>
      </w:tr>
      <w:tr w:rsidR="00956802" w:rsidRPr="00631C1B" w14:paraId="5AD7DA06" w14:textId="77777777" w:rsidTr="00C77F5C">
        <w:trPr>
          <w:trHeight w:val="79"/>
        </w:trPr>
        <w:tc>
          <w:tcPr>
            <w:tcW w:w="1902" w:type="pct"/>
          </w:tcPr>
          <w:p w14:paraId="24393562" w14:textId="269AF162" w:rsidR="00956802" w:rsidRPr="00631C1B" w:rsidRDefault="00956802" w:rsidP="002A7E56">
            <w:r w:rsidRPr="00631C1B">
              <w:rPr>
                <w:lang w:eastAsia="en-GB"/>
              </w:rPr>
              <w:t>Oasis Youth Management Committee</w:t>
            </w:r>
          </w:p>
        </w:tc>
        <w:tc>
          <w:tcPr>
            <w:tcW w:w="1651" w:type="pct"/>
          </w:tcPr>
          <w:p w14:paraId="41C1BBC1" w14:textId="5763088C" w:rsidR="00956802" w:rsidRPr="00631C1B" w:rsidRDefault="00956802" w:rsidP="002A7E56">
            <w:r w:rsidRPr="00631C1B">
              <w:rPr>
                <w:lang w:eastAsia="en-GB"/>
              </w:rPr>
              <w:t>Dumfries and Galloway</w:t>
            </w:r>
          </w:p>
        </w:tc>
        <w:tc>
          <w:tcPr>
            <w:tcW w:w="1447" w:type="pct"/>
          </w:tcPr>
          <w:p w14:paraId="404CBC12" w14:textId="4F0A0388" w:rsidR="00956802" w:rsidRPr="00631C1B" w:rsidRDefault="00956802" w:rsidP="002A7E56">
            <w:r w:rsidRPr="00631C1B">
              <w:rPr>
                <w:lang w:eastAsia="en-GB"/>
              </w:rPr>
              <w:t>£8,167.00 </w:t>
            </w:r>
          </w:p>
        </w:tc>
      </w:tr>
      <w:tr w:rsidR="00956802" w:rsidRPr="00631C1B" w14:paraId="090D7F03" w14:textId="77777777" w:rsidTr="00C77F5C">
        <w:trPr>
          <w:trHeight w:val="79"/>
        </w:trPr>
        <w:tc>
          <w:tcPr>
            <w:tcW w:w="1902" w:type="pct"/>
          </w:tcPr>
          <w:p w14:paraId="25D41011" w14:textId="4EF5AC64" w:rsidR="00956802" w:rsidRPr="00631C1B" w:rsidRDefault="00956802" w:rsidP="002A7E56">
            <w:pPr>
              <w:rPr>
                <w:rFonts w:ascii="Times New Roman" w:hAnsi="Times New Roman" w:cs="Times New Roman"/>
                <w:lang w:eastAsia="en-GB"/>
              </w:rPr>
            </w:pPr>
            <w:r w:rsidRPr="00631C1B">
              <w:rPr>
                <w:lang w:eastAsia="en-GB"/>
              </w:rPr>
              <w:t>Feeling Strong</w:t>
            </w:r>
          </w:p>
        </w:tc>
        <w:tc>
          <w:tcPr>
            <w:tcW w:w="1651" w:type="pct"/>
          </w:tcPr>
          <w:p w14:paraId="537927A1" w14:textId="2B5CDD94" w:rsidR="00956802" w:rsidRPr="00631C1B" w:rsidRDefault="00956802" w:rsidP="002A7E56">
            <w:r w:rsidRPr="00631C1B">
              <w:rPr>
                <w:lang w:eastAsia="en-GB"/>
              </w:rPr>
              <w:t>Dundee City</w:t>
            </w:r>
          </w:p>
        </w:tc>
        <w:tc>
          <w:tcPr>
            <w:tcW w:w="1447" w:type="pct"/>
          </w:tcPr>
          <w:p w14:paraId="69F221F4" w14:textId="1620A635" w:rsidR="00956802" w:rsidRPr="00631C1B" w:rsidRDefault="00956802" w:rsidP="002A7E56">
            <w:r w:rsidRPr="00631C1B">
              <w:rPr>
                <w:lang w:eastAsia="en-GB"/>
              </w:rPr>
              <w:t>£8,571.35 </w:t>
            </w:r>
          </w:p>
        </w:tc>
      </w:tr>
      <w:tr w:rsidR="00956802" w:rsidRPr="00631C1B" w14:paraId="3F1070FB" w14:textId="77777777" w:rsidTr="00C77F5C">
        <w:trPr>
          <w:trHeight w:val="79"/>
        </w:trPr>
        <w:tc>
          <w:tcPr>
            <w:tcW w:w="1902" w:type="pct"/>
          </w:tcPr>
          <w:p w14:paraId="65CE42BF" w14:textId="0E631A5C" w:rsidR="00956802" w:rsidRPr="00631C1B" w:rsidRDefault="00956802" w:rsidP="002A7E56">
            <w:proofErr w:type="spellStart"/>
            <w:r w:rsidRPr="00631C1B">
              <w:rPr>
                <w:lang w:eastAsia="en-GB"/>
              </w:rPr>
              <w:t>Centrestage</w:t>
            </w:r>
            <w:proofErr w:type="spellEnd"/>
            <w:r w:rsidRPr="00631C1B">
              <w:rPr>
                <w:lang w:eastAsia="en-GB"/>
              </w:rPr>
              <w:t xml:space="preserve"> Communities Ltd</w:t>
            </w:r>
          </w:p>
        </w:tc>
        <w:tc>
          <w:tcPr>
            <w:tcW w:w="1651" w:type="pct"/>
          </w:tcPr>
          <w:p w14:paraId="34E37D1E" w14:textId="52D26DD4" w:rsidR="00956802" w:rsidRPr="00631C1B" w:rsidRDefault="00956802" w:rsidP="002A7E56">
            <w:r w:rsidRPr="00631C1B">
              <w:rPr>
                <w:lang w:eastAsia="en-GB"/>
              </w:rPr>
              <w:t>East Ayrshire</w:t>
            </w:r>
          </w:p>
        </w:tc>
        <w:tc>
          <w:tcPr>
            <w:tcW w:w="1447" w:type="pct"/>
          </w:tcPr>
          <w:p w14:paraId="1643B8AD" w14:textId="32AB4EDE" w:rsidR="00956802" w:rsidRPr="00631C1B" w:rsidRDefault="00956802" w:rsidP="002A7E56">
            <w:r w:rsidRPr="00631C1B">
              <w:rPr>
                <w:lang w:eastAsia="en-GB"/>
              </w:rPr>
              <w:t>£9,900.00 </w:t>
            </w:r>
          </w:p>
        </w:tc>
      </w:tr>
      <w:tr w:rsidR="00956802" w:rsidRPr="00631C1B" w14:paraId="2F805D2C" w14:textId="77777777" w:rsidTr="00C77F5C">
        <w:trPr>
          <w:trHeight w:val="79"/>
        </w:trPr>
        <w:tc>
          <w:tcPr>
            <w:tcW w:w="1902" w:type="pct"/>
          </w:tcPr>
          <w:p w14:paraId="74CB267F" w14:textId="2EB79183" w:rsidR="00956802" w:rsidRPr="00631C1B" w:rsidRDefault="00956802" w:rsidP="002A7E56">
            <w:proofErr w:type="spellStart"/>
            <w:r w:rsidRPr="00631C1B">
              <w:rPr>
                <w:lang w:eastAsia="en-GB"/>
              </w:rPr>
              <w:t>Barnardos</w:t>
            </w:r>
            <w:proofErr w:type="spellEnd"/>
            <w:r w:rsidRPr="00631C1B">
              <w:rPr>
                <w:lang w:eastAsia="en-GB"/>
              </w:rPr>
              <w:t xml:space="preserve"> Scotland</w:t>
            </w:r>
          </w:p>
        </w:tc>
        <w:tc>
          <w:tcPr>
            <w:tcW w:w="1651" w:type="pct"/>
          </w:tcPr>
          <w:p w14:paraId="3090C3C2" w14:textId="5E15D06B" w:rsidR="00956802" w:rsidRPr="00631C1B" w:rsidRDefault="00956802" w:rsidP="002A7E56">
            <w:pPr>
              <w:rPr>
                <w:rFonts w:ascii="Times New Roman" w:hAnsi="Times New Roman" w:cs="Times New Roman"/>
                <w:lang w:eastAsia="en-GB"/>
              </w:rPr>
            </w:pPr>
            <w:r w:rsidRPr="00631C1B">
              <w:rPr>
                <w:lang w:eastAsia="en-GB"/>
              </w:rPr>
              <w:t>Falkirk</w:t>
            </w:r>
          </w:p>
        </w:tc>
        <w:tc>
          <w:tcPr>
            <w:tcW w:w="1447" w:type="pct"/>
          </w:tcPr>
          <w:p w14:paraId="3CB2B96D" w14:textId="3DE4C2AD" w:rsidR="00956802" w:rsidRPr="00631C1B" w:rsidRDefault="00956802" w:rsidP="002A7E56">
            <w:r w:rsidRPr="00631C1B">
              <w:rPr>
                <w:lang w:eastAsia="en-GB"/>
              </w:rPr>
              <w:t>£8,196.00 </w:t>
            </w:r>
          </w:p>
        </w:tc>
      </w:tr>
      <w:tr w:rsidR="00956802" w:rsidRPr="00631C1B" w14:paraId="539DC358" w14:textId="77777777" w:rsidTr="00C77F5C">
        <w:trPr>
          <w:trHeight w:val="79"/>
        </w:trPr>
        <w:tc>
          <w:tcPr>
            <w:tcW w:w="1902" w:type="pct"/>
          </w:tcPr>
          <w:p w14:paraId="6A831AE7" w14:textId="157A8DB2" w:rsidR="00956802" w:rsidRPr="00631C1B" w:rsidRDefault="00956802" w:rsidP="002A7E56">
            <w:r w:rsidRPr="00631C1B">
              <w:rPr>
                <w:lang w:eastAsia="en-GB"/>
              </w:rPr>
              <w:t>Falkland Stewardship Trust</w:t>
            </w:r>
          </w:p>
        </w:tc>
        <w:tc>
          <w:tcPr>
            <w:tcW w:w="1651" w:type="pct"/>
          </w:tcPr>
          <w:p w14:paraId="42ABF96B" w14:textId="539C75F3" w:rsidR="00956802" w:rsidRPr="00631C1B" w:rsidRDefault="00956802" w:rsidP="002A7E56">
            <w:r w:rsidRPr="00631C1B">
              <w:rPr>
                <w:lang w:eastAsia="en-GB"/>
              </w:rPr>
              <w:t>Fife</w:t>
            </w:r>
          </w:p>
        </w:tc>
        <w:tc>
          <w:tcPr>
            <w:tcW w:w="1447" w:type="pct"/>
          </w:tcPr>
          <w:p w14:paraId="5A8C4E1E" w14:textId="19338840" w:rsidR="00956802" w:rsidRPr="00631C1B" w:rsidRDefault="00956802" w:rsidP="002A7E56">
            <w:r w:rsidRPr="00631C1B">
              <w:rPr>
                <w:lang w:eastAsia="en-GB"/>
              </w:rPr>
              <w:t>£9,000.00 </w:t>
            </w:r>
          </w:p>
        </w:tc>
      </w:tr>
      <w:tr w:rsidR="00956802" w:rsidRPr="00631C1B" w14:paraId="62455C8C" w14:textId="77777777" w:rsidTr="00C77F5C">
        <w:trPr>
          <w:trHeight w:val="79"/>
        </w:trPr>
        <w:tc>
          <w:tcPr>
            <w:tcW w:w="1902" w:type="pct"/>
          </w:tcPr>
          <w:p w14:paraId="665BD6C4" w14:textId="480FCF00" w:rsidR="00956802" w:rsidRPr="00631C1B" w:rsidRDefault="00956802" w:rsidP="002A7E56">
            <w:proofErr w:type="spellStart"/>
            <w:r w:rsidRPr="00631C1B">
              <w:rPr>
                <w:lang w:eastAsia="en-GB"/>
              </w:rPr>
              <w:t>Gallatown</w:t>
            </w:r>
            <w:proofErr w:type="spellEnd"/>
            <w:r w:rsidRPr="00631C1B">
              <w:rPr>
                <w:lang w:eastAsia="en-GB"/>
              </w:rPr>
              <w:t xml:space="preserve"> Bike Hub</w:t>
            </w:r>
          </w:p>
        </w:tc>
        <w:tc>
          <w:tcPr>
            <w:tcW w:w="1651" w:type="pct"/>
          </w:tcPr>
          <w:p w14:paraId="6C4B0833" w14:textId="6492A794" w:rsidR="00956802" w:rsidRPr="00631C1B" w:rsidRDefault="00956802" w:rsidP="002A7E56">
            <w:r w:rsidRPr="00631C1B">
              <w:rPr>
                <w:lang w:eastAsia="en-GB"/>
              </w:rPr>
              <w:t>Fife</w:t>
            </w:r>
          </w:p>
        </w:tc>
        <w:tc>
          <w:tcPr>
            <w:tcW w:w="1447" w:type="pct"/>
          </w:tcPr>
          <w:p w14:paraId="1586750E" w14:textId="1F3073F0" w:rsidR="00956802" w:rsidRPr="00631C1B" w:rsidRDefault="00956802" w:rsidP="002A7E56">
            <w:r w:rsidRPr="00631C1B">
              <w:rPr>
                <w:lang w:eastAsia="en-GB"/>
              </w:rPr>
              <w:t>£4,670.00 </w:t>
            </w:r>
          </w:p>
        </w:tc>
      </w:tr>
      <w:tr w:rsidR="00956802" w:rsidRPr="00631C1B" w14:paraId="64C5D30F" w14:textId="77777777" w:rsidTr="00C77F5C">
        <w:trPr>
          <w:trHeight w:val="79"/>
        </w:trPr>
        <w:tc>
          <w:tcPr>
            <w:tcW w:w="1902" w:type="pct"/>
          </w:tcPr>
          <w:p w14:paraId="19FC451F" w14:textId="660B0970" w:rsidR="00956802" w:rsidRPr="00631C1B" w:rsidRDefault="00956802" w:rsidP="002A7E56">
            <w:r w:rsidRPr="00631C1B">
              <w:rPr>
                <w:lang w:eastAsia="en-GB"/>
              </w:rPr>
              <w:t>PEEK Possibilities for Each and Every Kid</w:t>
            </w:r>
          </w:p>
        </w:tc>
        <w:tc>
          <w:tcPr>
            <w:tcW w:w="1651" w:type="pct"/>
          </w:tcPr>
          <w:p w14:paraId="7DF47D11" w14:textId="62540F77" w:rsidR="00956802" w:rsidRPr="00631C1B" w:rsidRDefault="00956802" w:rsidP="002A7E56">
            <w:r w:rsidRPr="00631C1B">
              <w:rPr>
                <w:lang w:eastAsia="en-GB"/>
              </w:rPr>
              <w:t>Glasgow North East</w:t>
            </w:r>
          </w:p>
        </w:tc>
        <w:tc>
          <w:tcPr>
            <w:tcW w:w="1447" w:type="pct"/>
          </w:tcPr>
          <w:p w14:paraId="276EE7F8" w14:textId="0C0DA491" w:rsidR="00956802" w:rsidRPr="00631C1B" w:rsidRDefault="00956802" w:rsidP="002A7E56">
            <w:r w:rsidRPr="00631C1B">
              <w:rPr>
                <w:lang w:eastAsia="en-GB"/>
              </w:rPr>
              <w:t>£10,000.00 </w:t>
            </w:r>
          </w:p>
        </w:tc>
      </w:tr>
      <w:tr w:rsidR="00956802" w:rsidRPr="00631C1B" w14:paraId="24B5938E" w14:textId="77777777" w:rsidTr="00C77F5C">
        <w:trPr>
          <w:trHeight w:val="79"/>
        </w:trPr>
        <w:tc>
          <w:tcPr>
            <w:tcW w:w="1902" w:type="pct"/>
          </w:tcPr>
          <w:p w14:paraId="143EC89C" w14:textId="4208993D" w:rsidR="00956802" w:rsidRPr="00631C1B" w:rsidRDefault="00956802" w:rsidP="002A7E56">
            <w:proofErr w:type="spellStart"/>
            <w:r w:rsidRPr="00631C1B">
              <w:rPr>
                <w:lang w:eastAsia="en-GB"/>
              </w:rPr>
              <w:t>Indepen</w:t>
            </w:r>
            <w:proofErr w:type="spellEnd"/>
            <w:r w:rsidRPr="00631C1B">
              <w:rPr>
                <w:lang w:eastAsia="en-GB"/>
              </w:rPr>
              <w:t>-</w:t>
            </w:r>
            <w:proofErr w:type="gramStart"/>
            <w:r w:rsidRPr="00631C1B">
              <w:rPr>
                <w:lang w:eastAsia="en-GB"/>
              </w:rPr>
              <w:t>dance(</w:t>
            </w:r>
            <w:proofErr w:type="gramEnd"/>
            <w:r w:rsidRPr="00631C1B">
              <w:rPr>
                <w:lang w:eastAsia="en-GB"/>
              </w:rPr>
              <w:t>Scotland) Ltd</w:t>
            </w:r>
          </w:p>
        </w:tc>
        <w:tc>
          <w:tcPr>
            <w:tcW w:w="1651" w:type="pct"/>
          </w:tcPr>
          <w:p w14:paraId="47A2BA33" w14:textId="39D4F7D2" w:rsidR="00956802" w:rsidRPr="00631C1B" w:rsidRDefault="00956802" w:rsidP="002A7E56">
            <w:r w:rsidRPr="00631C1B">
              <w:rPr>
                <w:lang w:eastAsia="en-GB"/>
              </w:rPr>
              <w:t>Glasgow North East</w:t>
            </w:r>
          </w:p>
        </w:tc>
        <w:tc>
          <w:tcPr>
            <w:tcW w:w="1447" w:type="pct"/>
          </w:tcPr>
          <w:p w14:paraId="48CE12D7" w14:textId="30028EF9" w:rsidR="00956802" w:rsidRPr="00631C1B" w:rsidRDefault="00956802" w:rsidP="002A7E56">
            <w:r w:rsidRPr="00631C1B">
              <w:rPr>
                <w:lang w:eastAsia="en-GB"/>
              </w:rPr>
              <w:t>£3,705.73 </w:t>
            </w:r>
          </w:p>
        </w:tc>
      </w:tr>
      <w:tr w:rsidR="00956802" w:rsidRPr="00631C1B" w14:paraId="6B38C3F0" w14:textId="77777777" w:rsidTr="00C77F5C">
        <w:trPr>
          <w:trHeight w:val="79"/>
        </w:trPr>
        <w:tc>
          <w:tcPr>
            <w:tcW w:w="1902" w:type="pct"/>
          </w:tcPr>
          <w:p w14:paraId="64EA7312" w14:textId="160E1A5F" w:rsidR="00956802" w:rsidRPr="00631C1B" w:rsidRDefault="00956802" w:rsidP="002A7E56">
            <w:proofErr w:type="spellStart"/>
            <w:r w:rsidRPr="00631C1B">
              <w:rPr>
                <w:lang w:eastAsia="en-GB"/>
              </w:rPr>
              <w:t>Toonspeak</w:t>
            </w:r>
            <w:proofErr w:type="spellEnd"/>
            <w:r w:rsidRPr="00631C1B">
              <w:rPr>
                <w:lang w:eastAsia="en-GB"/>
              </w:rPr>
              <w:t xml:space="preserve"> Young People's Theatre</w:t>
            </w:r>
          </w:p>
        </w:tc>
        <w:tc>
          <w:tcPr>
            <w:tcW w:w="1651" w:type="pct"/>
          </w:tcPr>
          <w:p w14:paraId="114D5421" w14:textId="5F488B6C" w:rsidR="00956802" w:rsidRPr="00631C1B" w:rsidRDefault="00956802" w:rsidP="002A7E56">
            <w:r w:rsidRPr="00631C1B">
              <w:rPr>
                <w:lang w:eastAsia="en-GB"/>
              </w:rPr>
              <w:t>Glasgow North East</w:t>
            </w:r>
          </w:p>
        </w:tc>
        <w:tc>
          <w:tcPr>
            <w:tcW w:w="1447" w:type="pct"/>
          </w:tcPr>
          <w:p w14:paraId="5EA1409E" w14:textId="4B9C86E1" w:rsidR="00956802" w:rsidRPr="00631C1B" w:rsidRDefault="00956802" w:rsidP="002A7E56">
            <w:r w:rsidRPr="00631C1B">
              <w:rPr>
                <w:lang w:eastAsia="en-GB"/>
              </w:rPr>
              <w:t>£7,125.00 </w:t>
            </w:r>
          </w:p>
        </w:tc>
      </w:tr>
      <w:tr w:rsidR="00956802" w:rsidRPr="00631C1B" w14:paraId="78E331E9" w14:textId="77777777" w:rsidTr="00C77F5C">
        <w:trPr>
          <w:trHeight w:val="79"/>
        </w:trPr>
        <w:tc>
          <w:tcPr>
            <w:tcW w:w="1902" w:type="pct"/>
          </w:tcPr>
          <w:p w14:paraId="7BC1C685" w14:textId="2AF60C36" w:rsidR="00956802" w:rsidRPr="00631C1B" w:rsidRDefault="00956802" w:rsidP="002A7E56">
            <w:r w:rsidRPr="00631C1B">
              <w:rPr>
                <w:lang w:eastAsia="en-GB"/>
              </w:rPr>
              <w:t xml:space="preserve">The </w:t>
            </w:r>
            <w:proofErr w:type="spellStart"/>
            <w:r w:rsidRPr="00631C1B">
              <w:rPr>
                <w:lang w:eastAsia="en-GB"/>
              </w:rPr>
              <w:t>Pavillion</w:t>
            </w:r>
            <w:proofErr w:type="spellEnd"/>
            <w:r w:rsidRPr="00631C1B">
              <w:rPr>
                <w:lang w:eastAsia="en-GB"/>
              </w:rPr>
              <w:t xml:space="preserve"> (Greater Easterhouse)</w:t>
            </w:r>
          </w:p>
        </w:tc>
        <w:tc>
          <w:tcPr>
            <w:tcW w:w="1651" w:type="pct"/>
          </w:tcPr>
          <w:p w14:paraId="53E9D1BA" w14:textId="4A9D8FF6" w:rsidR="00956802" w:rsidRPr="00631C1B" w:rsidRDefault="00956802" w:rsidP="002A7E56">
            <w:r w:rsidRPr="00631C1B">
              <w:rPr>
                <w:lang w:eastAsia="en-GB"/>
              </w:rPr>
              <w:t>Glasgow North East</w:t>
            </w:r>
          </w:p>
        </w:tc>
        <w:tc>
          <w:tcPr>
            <w:tcW w:w="1447" w:type="pct"/>
          </w:tcPr>
          <w:p w14:paraId="4C1FBEB0" w14:textId="4888E0A0" w:rsidR="00956802" w:rsidRPr="00631C1B" w:rsidRDefault="00956802" w:rsidP="002A7E56">
            <w:r w:rsidRPr="00631C1B">
              <w:rPr>
                <w:lang w:eastAsia="en-GB"/>
              </w:rPr>
              <w:t>£9,350.00 </w:t>
            </w:r>
          </w:p>
        </w:tc>
      </w:tr>
      <w:tr w:rsidR="00956802" w:rsidRPr="00631C1B" w14:paraId="68EF37C9" w14:textId="77777777" w:rsidTr="00C77F5C">
        <w:trPr>
          <w:trHeight w:val="79"/>
        </w:trPr>
        <w:tc>
          <w:tcPr>
            <w:tcW w:w="1902" w:type="pct"/>
          </w:tcPr>
          <w:p w14:paraId="3EFEBEE4" w14:textId="1D108E7D" w:rsidR="00956802" w:rsidRPr="00631C1B" w:rsidRDefault="00956802" w:rsidP="002A7E56">
            <w:r w:rsidRPr="00631C1B">
              <w:rPr>
                <w:lang w:eastAsia="en-GB"/>
              </w:rPr>
              <w:lastRenderedPageBreak/>
              <w:t>Produced Moon</w:t>
            </w:r>
          </w:p>
        </w:tc>
        <w:tc>
          <w:tcPr>
            <w:tcW w:w="1651" w:type="pct"/>
          </w:tcPr>
          <w:p w14:paraId="4DEE056C" w14:textId="0FE5DD13" w:rsidR="00956802" w:rsidRPr="00631C1B" w:rsidRDefault="00956802" w:rsidP="002A7E56">
            <w:r w:rsidRPr="00631C1B">
              <w:rPr>
                <w:lang w:eastAsia="en-GB"/>
              </w:rPr>
              <w:t>Glasgow North East</w:t>
            </w:r>
          </w:p>
        </w:tc>
        <w:tc>
          <w:tcPr>
            <w:tcW w:w="1447" w:type="pct"/>
          </w:tcPr>
          <w:p w14:paraId="3F52DCD9" w14:textId="324CFF40" w:rsidR="00956802" w:rsidRPr="00631C1B" w:rsidRDefault="00956802" w:rsidP="002A7E56">
            <w:r w:rsidRPr="00631C1B">
              <w:rPr>
                <w:lang w:eastAsia="en-GB"/>
              </w:rPr>
              <w:t>£7,325.00 </w:t>
            </w:r>
          </w:p>
        </w:tc>
      </w:tr>
      <w:tr w:rsidR="00956802" w:rsidRPr="00631C1B" w14:paraId="57E77822" w14:textId="77777777" w:rsidTr="00C77F5C">
        <w:trPr>
          <w:trHeight w:val="79"/>
        </w:trPr>
        <w:tc>
          <w:tcPr>
            <w:tcW w:w="1902" w:type="pct"/>
          </w:tcPr>
          <w:p w14:paraId="3C3C1ABF" w14:textId="0F5FA959" w:rsidR="00956802" w:rsidRPr="00631C1B" w:rsidRDefault="00956802" w:rsidP="002A7E56">
            <w:r w:rsidRPr="00631C1B">
              <w:rPr>
                <w:lang w:eastAsia="en-GB"/>
              </w:rPr>
              <w:t>HOPE AMPLIFIED</w:t>
            </w:r>
          </w:p>
        </w:tc>
        <w:tc>
          <w:tcPr>
            <w:tcW w:w="1651" w:type="pct"/>
          </w:tcPr>
          <w:p w14:paraId="68DAED79" w14:textId="49C029B2" w:rsidR="00956802" w:rsidRPr="00631C1B" w:rsidRDefault="00956802" w:rsidP="002A7E56">
            <w:r w:rsidRPr="00631C1B">
              <w:rPr>
                <w:lang w:eastAsia="en-GB"/>
              </w:rPr>
              <w:t>Glasgow North East</w:t>
            </w:r>
          </w:p>
        </w:tc>
        <w:tc>
          <w:tcPr>
            <w:tcW w:w="1447" w:type="pct"/>
          </w:tcPr>
          <w:p w14:paraId="31D51DDD" w14:textId="38540979" w:rsidR="00956802" w:rsidRPr="00631C1B" w:rsidRDefault="00956802" w:rsidP="002A7E56">
            <w:r w:rsidRPr="00631C1B">
              <w:rPr>
                <w:lang w:eastAsia="en-GB"/>
              </w:rPr>
              <w:t>£6,336.00 </w:t>
            </w:r>
          </w:p>
        </w:tc>
      </w:tr>
      <w:tr w:rsidR="00956802" w:rsidRPr="00631C1B" w14:paraId="21E3A58C" w14:textId="77777777" w:rsidTr="00C77F5C">
        <w:trPr>
          <w:trHeight w:val="79"/>
        </w:trPr>
        <w:tc>
          <w:tcPr>
            <w:tcW w:w="1902" w:type="pct"/>
          </w:tcPr>
          <w:p w14:paraId="65F889D0" w14:textId="07B5D002" w:rsidR="00956802" w:rsidRPr="00631C1B" w:rsidRDefault="00956802" w:rsidP="002A7E56">
            <w:r w:rsidRPr="00631C1B">
              <w:rPr>
                <w:lang w:eastAsia="en-GB"/>
              </w:rPr>
              <w:t>Royston Youth Action</w:t>
            </w:r>
          </w:p>
        </w:tc>
        <w:tc>
          <w:tcPr>
            <w:tcW w:w="1651" w:type="pct"/>
          </w:tcPr>
          <w:p w14:paraId="0ACBEC1F" w14:textId="2F7A276A" w:rsidR="00956802" w:rsidRPr="00631C1B" w:rsidRDefault="00956802" w:rsidP="002A7E56">
            <w:r w:rsidRPr="00631C1B">
              <w:rPr>
                <w:lang w:eastAsia="en-GB"/>
              </w:rPr>
              <w:t>Glasgow North East</w:t>
            </w:r>
          </w:p>
        </w:tc>
        <w:tc>
          <w:tcPr>
            <w:tcW w:w="1447" w:type="pct"/>
          </w:tcPr>
          <w:p w14:paraId="4C2E28E5" w14:textId="04EE4E61" w:rsidR="00956802" w:rsidRPr="00631C1B" w:rsidRDefault="00956802" w:rsidP="002A7E56">
            <w:r w:rsidRPr="00631C1B">
              <w:rPr>
                <w:lang w:eastAsia="en-GB"/>
              </w:rPr>
              <w:t>£6,670.00 </w:t>
            </w:r>
          </w:p>
        </w:tc>
      </w:tr>
      <w:tr w:rsidR="00956802" w:rsidRPr="00631C1B" w14:paraId="642A41CF" w14:textId="77777777" w:rsidTr="00C77F5C">
        <w:trPr>
          <w:trHeight w:val="79"/>
        </w:trPr>
        <w:tc>
          <w:tcPr>
            <w:tcW w:w="1902" w:type="pct"/>
          </w:tcPr>
          <w:p w14:paraId="3552A2DC" w14:textId="13A6F9C0" w:rsidR="00956802" w:rsidRPr="00631C1B" w:rsidRDefault="00956802" w:rsidP="002A7E56">
            <w:pPr>
              <w:rPr>
                <w:rFonts w:ascii="Times New Roman" w:hAnsi="Times New Roman" w:cs="Times New Roman"/>
                <w:lang w:eastAsia="en-GB"/>
              </w:rPr>
            </w:pPr>
            <w:r w:rsidRPr="00631C1B">
              <w:rPr>
                <w:lang w:eastAsia="en-GB"/>
              </w:rPr>
              <w:t>Achieve More Scotland</w:t>
            </w:r>
          </w:p>
        </w:tc>
        <w:tc>
          <w:tcPr>
            <w:tcW w:w="1651" w:type="pct"/>
          </w:tcPr>
          <w:p w14:paraId="3E3E91D6" w14:textId="303A3025" w:rsidR="00956802" w:rsidRPr="00631C1B" w:rsidRDefault="00956802" w:rsidP="002A7E56">
            <w:pPr>
              <w:rPr>
                <w:rFonts w:ascii="Times New Roman" w:hAnsi="Times New Roman" w:cs="Times New Roman"/>
                <w:lang w:eastAsia="en-GB"/>
              </w:rPr>
            </w:pPr>
            <w:r w:rsidRPr="00631C1B">
              <w:rPr>
                <w:lang w:eastAsia="en-GB"/>
              </w:rPr>
              <w:t>Glasgow North West</w:t>
            </w:r>
          </w:p>
        </w:tc>
        <w:tc>
          <w:tcPr>
            <w:tcW w:w="1447" w:type="pct"/>
          </w:tcPr>
          <w:p w14:paraId="016D9643" w14:textId="05A191F5" w:rsidR="00956802" w:rsidRPr="00631C1B" w:rsidRDefault="00956802" w:rsidP="002A7E56">
            <w:pPr>
              <w:rPr>
                <w:rFonts w:ascii="Times New Roman" w:hAnsi="Times New Roman" w:cs="Times New Roman"/>
                <w:lang w:eastAsia="en-GB"/>
              </w:rPr>
            </w:pPr>
            <w:r w:rsidRPr="00631C1B">
              <w:rPr>
                <w:lang w:eastAsia="en-GB"/>
              </w:rPr>
              <w:t>£9,550.00 </w:t>
            </w:r>
          </w:p>
        </w:tc>
      </w:tr>
      <w:tr w:rsidR="00956802" w:rsidRPr="00631C1B" w14:paraId="59D8D21E" w14:textId="77777777" w:rsidTr="00C77F5C">
        <w:trPr>
          <w:trHeight w:val="79"/>
        </w:trPr>
        <w:tc>
          <w:tcPr>
            <w:tcW w:w="1902" w:type="pct"/>
          </w:tcPr>
          <w:p w14:paraId="442B8841" w14:textId="60B26994" w:rsidR="00956802" w:rsidRPr="00631C1B" w:rsidRDefault="00956802" w:rsidP="002A7E56">
            <w:pPr>
              <w:rPr>
                <w:rFonts w:ascii="Times New Roman" w:hAnsi="Times New Roman" w:cs="Times New Roman"/>
                <w:lang w:eastAsia="en-GB"/>
              </w:rPr>
            </w:pPr>
            <w:r w:rsidRPr="00631C1B">
              <w:rPr>
                <w:lang w:eastAsia="en-GB"/>
              </w:rPr>
              <w:t>The Village Storytelling Centre</w:t>
            </w:r>
          </w:p>
        </w:tc>
        <w:tc>
          <w:tcPr>
            <w:tcW w:w="1651" w:type="pct"/>
          </w:tcPr>
          <w:p w14:paraId="5516F3B0" w14:textId="69829FD2" w:rsidR="00956802" w:rsidRPr="00631C1B" w:rsidRDefault="00956802" w:rsidP="002A7E56">
            <w:r w:rsidRPr="00631C1B">
              <w:rPr>
                <w:lang w:eastAsia="en-GB"/>
              </w:rPr>
              <w:t>Glasgow South</w:t>
            </w:r>
          </w:p>
        </w:tc>
        <w:tc>
          <w:tcPr>
            <w:tcW w:w="1447" w:type="pct"/>
          </w:tcPr>
          <w:p w14:paraId="6C8F8B1D" w14:textId="1E88236B" w:rsidR="00956802" w:rsidRPr="00631C1B" w:rsidRDefault="00956802" w:rsidP="002A7E56">
            <w:r w:rsidRPr="00631C1B">
              <w:rPr>
                <w:lang w:eastAsia="en-GB"/>
              </w:rPr>
              <w:t>£9,174.00 </w:t>
            </w:r>
          </w:p>
        </w:tc>
      </w:tr>
      <w:tr w:rsidR="00956802" w:rsidRPr="00631C1B" w14:paraId="56302210" w14:textId="77777777" w:rsidTr="00C77F5C">
        <w:trPr>
          <w:trHeight w:val="79"/>
        </w:trPr>
        <w:tc>
          <w:tcPr>
            <w:tcW w:w="1902" w:type="pct"/>
          </w:tcPr>
          <w:p w14:paraId="6E01A907" w14:textId="4230CA9A" w:rsidR="00956802" w:rsidRPr="00631C1B" w:rsidRDefault="00956802" w:rsidP="002A7E56">
            <w:pPr>
              <w:rPr>
                <w:rFonts w:ascii="Times New Roman" w:hAnsi="Times New Roman" w:cs="Times New Roman"/>
                <w:lang w:eastAsia="en-GB"/>
              </w:rPr>
            </w:pPr>
            <w:r w:rsidRPr="00631C1B">
              <w:rPr>
                <w:lang w:eastAsia="en-GB"/>
              </w:rPr>
              <w:t>ATLAS Arts</w:t>
            </w:r>
          </w:p>
        </w:tc>
        <w:tc>
          <w:tcPr>
            <w:tcW w:w="1651" w:type="pct"/>
          </w:tcPr>
          <w:p w14:paraId="50BE7378" w14:textId="36DA4301" w:rsidR="00956802" w:rsidRPr="00631C1B" w:rsidRDefault="00956802" w:rsidP="002A7E56">
            <w:r w:rsidRPr="00631C1B">
              <w:rPr>
                <w:lang w:eastAsia="en-GB"/>
              </w:rPr>
              <w:t>Highland</w:t>
            </w:r>
          </w:p>
        </w:tc>
        <w:tc>
          <w:tcPr>
            <w:tcW w:w="1447" w:type="pct"/>
          </w:tcPr>
          <w:p w14:paraId="35609B3C" w14:textId="4CD8520C" w:rsidR="00956802" w:rsidRPr="00631C1B" w:rsidRDefault="00956802" w:rsidP="002A7E56">
            <w:r w:rsidRPr="00631C1B">
              <w:rPr>
                <w:lang w:eastAsia="en-GB"/>
              </w:rPr>
              <w:t>£1,227.00 </w:t>
            </w:r>
          </w:p>
        </w:tc>
      </w:tr>
      <w:tr w:rsidR="00956802" w:rsidRPr="00631C1B" w14:paraId="36BC1D44" w14:textId="77777777" w:rsidTr="00C77F5C">
        <w:trPr>
          <w:trHeight w:val="79"/>
        </w:trPr>
        <w:tc>
          <w:tcPr>
            <w:tcW w:w="1902" w:type="pct"/>
          </w:tcPr>
          <w:p w14:paraId="0F97B4C7" w14:textId="0D91ADA9" w:rsidR="00956802" w:rsidRPr="00631C1B" w:rsidRDefault="00956802" w:rsidP="002A7E56">
            <w:proofErr w:type="spellStart"/>
            <w:r w:rsidRPr="00631C1B">
              <w:rPr>
                <w:lang w:eastAsia="en-GB"/>
              </w:rPr>
              <w:t>Lyth</w:t>
            </w:r>
            <w:proofErr w:type="spellEnd"/>
            <w:r w:rsidRPr="00631C1B">
              <w:rPr>
                <w:lang w:eastAsia="en-GB"/>
              </w:rPr>
              <w:t xml:space="preserve"> Arts Centre LTD </w:t>
            </w:r>
          </w:p>
        </w:tc>
        <w:tc>
          <w:tcPr>
            <w:tcW w:w="1651" w:type="pct"/>
          </w:tcPr>
          <w:p w14:paraId="49FEFE86" w14:textId="20208DBE" w:rsidR="00956802" w:rsidRPr="00631C1B" w:rsidRDefault="00956802" w:rsidP="002A7E56">
            <w:r w:rsidRPr="00631C1B">
              <w:rPr>
                <w:lang w:eastAsia="en-GB"/>
              </w:rPr>
              <w:t>Highland</w:t>
            </w:r>
          </w:p>
        </w:tc>
        <w:tc>
          <w:tcPr>
            <w:tcW w:w="1447" w:type="pct"/>
          </w:tcPr>
          <w:p w14:paraId="5677386A" w14:textId="392D9FAC" w:rsidR="00956802" w:rsidRPr="00631C1B" w:rsidRDefault="00956802" w:rsidP="002A7E56">
            <w:r w:rsidRPr="00631C1B">
              <w:rPr>
                <w:lang w:eastAsia="en-GB"/>
              </w:rPr>
              <w:t>£9,926.00 </w:t>
            </w:r>
          </w:p>
        </w:tc>
      </w:tr>
      <w:tr w:rsidR="00956802" w:rsidRPr="00631C1B" w14:paraId="2074D745" w14:textId="77777777" w:rsidTr="00C77F5C">
        <w:trPr>
          <w:trHeight w:val="79"/>
        </w:trPr>
        <w:tc>
          <w:tcPr>
            <w:tcW w:w="1902" w:type="pct"/>
          </w:tcPr>
          <w:p w14:paraId="69BB7C9D" w14:textId="13060575" w:rsidR="00956802" w:rsidRPr="00631C1B" w:rsidRDefault="00956802" w:rsidP="002A7E56">
            <w:r w:rsidRPr="00631C1B">
              <w:rPr>
                <w:lang w:eastAsia="en-GB"/>
              </w:rPr>
              <w:t>Youth Connections</w:t>
            </w:r>
          </w:p>
        </w:tc>
        <w:tc>
          <w:tcPr>
            <w:tcW w:w="1651" w:type="pct"/>
          </w:tcPr>
          <w:p w14:paraId="58A874BE" w14:textId="10F2CCFC" w:rsidR="00956802" w:rsidRPr="00631C1B" w:rsidRDefault="00956802" w:rsidP="002A7E56">
            <w:r w:rsidRPr="00631C1B">
              <w:rPr>
                <w:lang w:eastAsia="en-GB"/>
              </w:rPr>
              <w:t>Inverclyde</w:t>
            </w:r>
          </w:p>
        </w:tc>
        <w:tc>
          <w:tcPr>
            <w:tcW w:w="1447" w:type="pct"/>
          </w:tcPr>
          <w:p w14:paraId="51937178" w14:textId="682BE5DA" w:rsidR="00956802" w:rsidRPr="00631C1B" w:rsidRDefault="00956802" w:rsidP="002A7E56">
            <w:r w:rsidRPr="00631C1B">
              <w:rPr>
                <w:lang w:eastAsia="en-GB"/>
              </w:rPr>
              <w:t>£3,285.00 </w:t>
            </w:r>
          </w:p>
        </w:tc>
      </w:tr>
      <w:tr w:rsidR="00956802" w:rsidRPr="00631C1B" w14:paraId="389E7A57" w14:textId="77777777" w:rsidTr="00C77F5C">
        <w:trPr>
          <w:trHeight w:val="79"/>
        </w:trPr>
        <w:tc>
          <w:tcPr>
            <w:tcW w:w="1902" w:type="pct"/>
          </w:tcPr>
          <w:p w14:paraId="3D734144" w14:textId="7EB456F8" w:rsidR="00956802" w:rsidRPr="00631C1B" w:rsidRDefault="00956802" w:rsidP="002A7E56">
            <w:proofErr w:type="spellStart"/>
            <w:r w:rsidRPr="00631C1B">
              <w:rPr>
                <w:lang w:eastAsia="en-GB"/>
              </w:rPr>
              <w:t>Capall</w:t>
            </w:r>
            <w:proofErr w:type="spellEnd"/>
            <w:r w:rsidRPr="00631C1B">
              <w:rPr>
                <w:lang w:eastAsia="en-GB"/>
              </w:rPr>
              <w:t xml:space="preserve"> </w:t>
            </w:r>
            <w:proofErr w:type="spellStart"/>
            <w:r w:rsidRPr="00631C1B">
              <w:rPr>
                <w:lang w:eastAsia="en-GB"/>
              </w:rPr>
              <w:t>Dorcha</w:t>
            </w:r>
            <w:proofErr w:type="spellEnd"/>
            <w:r w:rsidRPr="00631C1B">
              <w:rPr>
                <w:lang w:eastAsia="en-GB"/>
              </w:rPr>
              <w:t xml:space="preserve"> Theatre Company</w:t>
            </w:r>
          </w:p>
        </w:tc>
        <w:tc>
          <w:tcPr>
            <w:tcW w:w="1651" w:type="pct"/>
          </w:tcPr>
          <w:p w14:paraId="099BA752" w14:textId="5818BA9A" w:rsidR="00956802" w:rsidRPr="00631C1B" w:rsidRDefault="00956802" w:rsidP="002A7E56">
            <w:r w:rsidRPr="00631C1B">
              <w:rPr>
                <w:lang w:eastAsia="en-GB"/>
              </w:rPr>
              <w:t>North Ayrshire</w:t>
            </w:r>
          </w:p>
        </w:tc>
        <w:tc>
          <w:tcPr>
            <w:tcW w:w="1447" w:type="pct"/>
          </w:tcPr>
          <w:p w14:paraId="336EB18F" w14:textId="4A513755" w:rsidR="00956802" w:rsidRPr="00631C1B" w:rsidRDefault="00956802" w:rsidP="002A7E56">
            <w:r w:rsidRPr="00631C1B">
              <w:rPr>
                <w:lang w:eastAsia="en-GB"/>
              </w:rPr>
              <w:t>£5,898.00 </w:t>
            </w:r>
          </w:p>
        </w:tc>
      </w:tr>
      <w:tr w:rsidR="00A81061" w:rsidRPr="00631C1B" w14:paraId="505F0951" w14:textId="77777777" w:rsidTr="00C77F5C">
        <w:trPr>
          <w:trHeight w:val="79"/>
        </w:trPr>
        <w:tc>
          <w:tcPr>
            <w:tcW w:w="1902" w:type="pct"/>
          </w:tcPr>
          <w:p w14:paraId="7EC814BD" w14:textId="67450AAA" w:rsidR="00A81061" w:rsidRPr="00631C1B" w:rsidRDefault="00A81061" w:rsidP="002A7E56">
            <w:r w:rsidRPr="00631C1B">
              <w:rPr>
                <w:lang w:eastAsia="en-GB"/>
              </w:rPr>
              <w:t>Connect Project - Voluntary Action Orkney</w:t>
            </w:r>
          </w:p>
        </w:tc>
        <w:tc>
          <w:tcPr>
            <w:tcW w:w="1651" w:type="pct"/>
          </w:tcPr>
          <w:p w14:paraId="5CD08660" w14:textId="0E06593D" w:rsidR="00A81061" w:rsidRPr="00631C1B" w:rsidRDefault="00A81061" w:rsidP="002A7E56">
            <w:r w:rsidRPr="00631C1B">
              <w:rPr>
                <w:lang w:eastAsia="en-GB"/>
              </w:rPr>
              <w:t>Orkney Islands</w:t>
            </w:r>
          </w:p>
        </w:tc>
        <w:tc>
          <w:tcPr>
            <w:tcW w:w="1447" w:type="pct"/>
          </w:tcPr>
          <w:p w14:paraId="46C00A7C" w14:textId="38AF85E9" w:rsidR="00A81061" w:rsidRPr="00631C1B" w:rsidRDefault="00A81061" w:rsidP="002A7E56">
            <w:pPr>
              <w:rPr>
                <w:rFonts w:ascii="Times New Roman" w:hAnsi="Times New Roman" w:cs="Times New Roman"/>
                <w:lang w:eastAsia="en-GB"/>
              </w:rPr>
            </w:pPr>
            <w:r w:rsidRPr="00631C1B">
              <w:rPr>
                <w:lang w:eastAsia="en-GB"/>
              </w:rPr>
              <w:t>£4,248.70 </w:t>
            </w:r>
          </w:p>
        </w:tc>
      </w:tr>
      <w:tr w:rsidR="00A81061" w:rsidRPr="00631C1B" w14:paraId="53D03793" w14:textId="77777777" w:rsidTr="00C77F5C">
        <w:trPr>
          <w:trHeight w:val="79"/>
        </w:trPr>
        <w:tc>
          <w:tcPr>
            <w:tcW w:w="1902" w:type="pct"/>
          </w:tcPr>
          <w:p w14:paraId="362774C1" w14:textId="052A8065" w:rsidR="00A81061" w:rsidRPr="00631C1B" w:rsidRDefault="00A81061" w:rsidP="002A7E56">
            <w:pPr>
              <w:rPr>
                <w:lang w:eastAsia="en-GB"/>
              </w:rPr>
            </w:pPr>
            <w:proofErr w:type="spellStart"/>
            <w:r w:rsidRPr="00631C1B">
              <w:rPr>
                <w:lang w:eastAsia="en-GB"/>
              </w:rPr>
              <w:t>Remode</w:t>
            </w:r>
            <w:proofErr w:type="spellEnd"/>
            <w:r w:rsidRPr="00631C1B">
              <w:rPr>
                <w:lang w:eastAsia="en-GB"/>
              </w:rPr>
              <w:t xml:space="preserve"> Renfrewshire</w:t>
            </w:r>
          </w:p>
        </w:tc>
        <w:tc>
          <w:tcPr>
            <w:tcW w:w="1651" w:type="pct"/>
          </w:tcPr>
          <w:p w14:paraId="22B6E5C2" w14:textId="21CDF4AA" w:rsidR="00A81061" w:rsidRPr="00631C1B" w:rsidRDefault="00A81061" w:rsidP="002A7E56">
            <w:pPr>
              <w:rPr>
                <w:lang w:eastAsia="en-GB"/>
              </w:rPr>
            </w:pPr>
            <w:r w:rsidRPr="00631C1B">
              <w:rPr>
                <w:lang w:eastAsia="en-GB"/>
              </w:rPr>
              <w:t>Renfrewshire</w:t>
            </w:r>
          </w:p>
        </w:tc>
        <w:tc>
          <w:tcPr>
            <w:tcW w:w="1447" w:type="pct"/>
          </w:tcPr>
          <w:p w14:paraId="5D990E8E" w14:textId="2224386B" w:rsidR="00A81061" w:rsidRPr="00631C1B" w:rsidRDefault="00A81061" w:rsidP="002A7E56">
            <w:pPr>
              <w:rPr>
                <w:lang w:eastAsia="en-GB"/>
              </w:rPr>
            </w:pPr>
            <w:r w:rsidRPr="00631C1B">
              <w:rPr>
                <w:lang w:eastAsia="en-GB"/>
              </w:rPr>
              <w:t>£6,399.50 </w:t>
            </w:r>
          </w:p>
        </w:tc>
      </w:tr>
      <w:tr w:rsidR="00A81061" w:rsidRPr="00631C1B" w14:paraId="1FEC6159" w14:textId="77777777" w:rsidTr="00C77F5C">
        <w:trPr>
          <w:trHeight w:val="79"/>
        </w:trPr>
        <w:tc>
          <w:tcPr>
            <w:tcW w:w="1902" w:type="pct"/>
          </w:tcPr>
          <w:p w14:paraId="3D02F84C" w14:textId="4BD7B39F" w:rsidR="00A81061" w:rsidRPr="00631C1B" w:rsidRDefault="00A81061" w:rsidP="002A7E56">
            <w:pPr>
              <w:rPr>
                <w:lang w:eastAsia="en-GB"/>
              </w:rPr>
            </w:pPr>
            <w:r w:rsidRPr="00631C1B">
              <w:rPr>
                <w:lang w:eastAsia="en-GB"/>
              </w:rPr>
              <w:t>Paisley YMCA</w:t>
            </w:r>
          </w:p>
        </w:tc>
        <w:tc>
          <w:tcPr>
            <w:tcW w:w="1651" w:type="pct"/>
          </w:tcPr>
          <w:p w14:paraId="35FC40C5" w14:textId="7AC1AEAA" w:rsidR="00A81061" w:rsidRPr="00631C1B" w:rsidRDefault="00A81061" w:rsidP="002A7E56">
            <w:pPr>
              <w:rPr>
                <w:rFonts w:ascii="Times New Roman" w:hAnsi="Times New Roman" w:cs="Times New Roman"/>
                <w:lang w:eastAsia="en-GB"/>
              </w:rPr>
            </w:pPr>
            <w:r w:rsidRPr="00631C1B">
              <w:rPr>
                <w:lang w:eastAsia="en-GB"/>
              </w:rPr>
              <w:t>Renfrewshire</w:t>
            </w:r>
          </w:p>
        </w:tc>
        <w:tc>
          <w:tcPr>
            <w:tcW w:w="1447" w:type="pct"/>
          </w:tcPr>
          <w:p w14:paraId="294D9225" w14:textId="1EE99C6D" w:rsidR="00A81061" w:rsidRPr="00631C1B" w:rsidRDefault="00A81061" w:rsidP="002A7E56">
            <w:pPr>
              <w:rPr>
                <w:lang w:eastAsia="en-GB"/>
              </w:rPr>
            </w:pPr>
            <w:r w:rsidRPr="00631C1B">
              <w:rPr>
                <w:lang w:eastAsia="en-GB"/>
              </w:rPr>
              <w:t>£9,339.00 </w:t>
            </w:r>
          </w:p>
        </w:tc>
      </w:tr>
      <w:tr w:rsidR="00A81061" w:rsidRPr="00631C1B" w14:paraId="4D44A5D8" w14:textId="77777777" w:rsidTr="00C77F5C">
        <w:trPr>
          <w:trHeight w:val="79"/>
        </w:trPr>
        <w:tc>
          <w:tcPr>
            <w:tcW w:w="1902" w:type="pct"/>
          </w:tcPr>
          <w:p w14:paraId="4A5F46E2" w14:textId="6D925138" w:rsidR="00A81061" w:rsidRPr="00631C1B" w:rsidRDefault="00A81061" w:rsidP="002A7E56">
            <w:pPr>
              <w:rPr>
                <w:rFonts w:ascii="Times New Roman" w:hAnsi="Times New Roman" w:cs="Times New Roman"/>
                <w:lang w:eastAsia="en-GB"/>
              </w:rPr>
            </w:pPr>
            <w:r w:rsidRPr="00631C1B">
              <w:rPr>
                <w:lang w:eastAsia="en-GB"/>
              </w:rPr>
              <w:t>Kibble Education and Care Centre</w:t>
            </w:r>
          </w:p>
        </w:tc>
        <w:tc>
          <w:tcPr>
            <w:tcW w:w="1651" w:type="pct"/>
          </w:tcPr>
          <w:p w14:paraId="442F24BE" w14:textId="7579333D" w:rsidR="00A81061" w:rsidRPr="00631C1B" w:rsidRDefault="00A81061" w:rsidP="002A7E56">
            <w:pPr>
              <w:rPr>
                <w:lang w:eastAsia="en-GB"/>
              </w:rPr>
            </w:pPr>
            <w:r w:rsidRPr="00631C1B">
              <w:rPr>
                <w:lang w:eastAsia="en-GB"/>
              </w:rPr>
              <w:t>Renfrewshire</w:t>
            </w:r>
          </w:p>
        </w:tc>
        <w:tc>
          <w:tcPr>
            <w:tcW w:w="1447" w:type="pct"/>
          </w:tcPr>
          <w:p w14:paraId="5FA1624A" w14:textId="45AFA631" w:rsidR="00A81061" w:rsidRPr="00631C1B" w:rsidRDefault="00A81061" w:rsidP="002A7E56">
            <w:pPr>
              <w:rPr>
                <w:lang w:eastAsia="en-GB"/>
              </w:rPr>
            </w:pPr>
            <w:r w:rsidRPr="00631C1B">
              <w:rPr>
                <w:lang w:eastAsia="en-GB"/>
              </w:rPr>
              <w:t>£7,020.00 </w:t>
            </w:r>
          </w:p>
        </w:tc>
      </w:tr>
      <w:tr w:rsidR="00A81061" w:rsidRPr="00631C1B" w14:paraId="568E0AF0" w14:textId="77777777" w:rsidTr="00C77F5C">
        <w:trPr>
          <w:trHeight w:val="79"/>
        </w:trPr>
        <w:tc>
          <w:tcPr>
            <w:tcW w:w="1902" w:type="pct"/>
          </w:tcPr>
          <w:p w14:paraId="69A0AA8C" w14:textId="7E878987" w:rsidR="00A81061" w:rsidRPr="00631C1B" w:rsidRDefault="00A81061" w:rsidP="002A7E56">
            <w:pPr>
              <w:rPr>
                <w:lang w:eastAsia="en-GB"/>
              </w:rPr>
            </w:pPr>
            <w:r w:rsidRPr="00631C1B">
              <w:rPr>
                <w:lang w:eastAsia="en-GB"/>
              </w:rPr>
              <w:t>Eildon West Youth Hub (TD1 Youth Hub)</w:t>
            </w:r>
          </w:p>
        </w:tc>
        <w:tc>
          <w:tcPr>
            <w:tcW w:w="1651" w:type="pct"/>
          </w:tcPr>
          <w:p w14:paraId="53BBBF75" w14:textId="6BC85602" w:rsidR="00A81061" w:rsidRPr="00631C1B" w:rsidRDefault="00A81061" w:rsidP="002A7E56">
            <w:pPr>
              <w:rPr>
                <w:lang w:eastAsia="en-GB"/>
              </w:rPr>
            </w:pPr>
            <w:r w:rsidRPr="00631C1B">
              <w:rPr>
                <w:lang w:eastAsia="en-GB"/>
              </w:rPr>
              <w:t>Scottish Borders</w:t>
            </w:r>
          </w:p>
        </w:tc>
        <w:tc>
          <w:tcPr>
            <w:tcW w:w="1447" w:type="pct"/>
          </w:tcPr>
          <w:p w14:paraId="64ACDC58" w14:textId="031E725C" w:rsidR="00A81061" w:rsidRPr="00631C1B" w:rsidRDefault="00A81061" w:rsidP="002A7E56">
            <w:pPr>
              <w:rPr>
                <w:lang w:eastAsia="en-GB"/>
              </w:rPr>
            </w:pPr>
            <w:r w:rsidRPr="00631C1B">
              <w:rPr>
                <w:lang w:eastAsia="en-GB"/>
              </w:rPr>
              <w:t>£7,438.00 </w:t>
            </w:r>
          </w:p>
        </w:tc>
      </w:tr>
      <w:tr w:rsidR="00A81061" w:rsidRPr="00631C1B" w14:paraId="3EAD83C0" w14:textId="77777777" w:rsidTr="00C77F5C">
        <w:trPr>
          <w:trHeight w:val="79"/>
        </w:trPr>
        <w:tc>
          <w:tcPr>
            <w:tcW w:w="1902" w:type="pct"/>
          </w:tcPr>
          <w:p w14:paraId="22467367" w14:textId="4215F44F" w:rsidR="00A81061" w:rsidRPr="00631C1B" w:rsidRDefault="00A81061" w:rsidP="002A7E56">
            <w:pPr>
              <w:rPr>
                <w:lang w:eastAsia="en-GB"/>
              </w:rPr>
            </w:pPr>
            <w:proofErr w:type="spellStart"/>
            <w:r w:rsidRPr="00631C1B">
              <w:rPr>
                <w:lang w:eastAsia="en-GB"/>
              </w:rPr>
              <w:t>YouthBorders</w:t>
            </w:r>
            <w:proofErr w:type="spellEnd"/>
            <w:r w:rsidRPr="00631C1B">
              <w:rPr>
                <w:lang w:eastAsia="en-GB"/>
              </w:rPr>
              <w:t> </w:t>
            </w:r>
          </w:p>
        </w:tc>
        <w:tc>
          <w:tcPr>
            <w:tcW w:w="1651" w:type="pct"/>
          </w:tcPr>
          <w:p w14:paraId="03C60492" w14:textId="63D094EF" w:rsidR="00A81061" w:rsidRPr="00631C1B" w:rsidRDefault="00A81061" w:rsidP="002A7E56">
            <w:pPr>
              <w:rPr>
                <w:rFonts w:ascii="Times New Roman" w:hAnsi="Times New Roman" w:cs="Times New Roman"/>
                <w:lang w:eastAsia="en-GB"/>
              </w:rPr>
            </w:pPr>
            <w:r w:rsidRPr="00631C1B">
              <w:rPr>
                <w:lang w:eastAsia="en-GB"/>
              </w:rPr>
              <w:t>Scottish Borders</w:t>
            </w:r>
          </w:p>
        </w:tc>
        <w:tc>
          <w:tcPr>
            <w:tcW w:w="1447" w:type="pct"/>
          </w:tcPr>
          <w:p w14:paraId="5EAA19D2" w14:textId="41E3B316" w:rsidR="00A81061" w:rsidRPr="00631C1B" w:rsidRDefault="00A81061" w:rsidP="002A7E56">
            <w:pPr>
              <w:rPr>
                <w:lang w:eastAsia="en-GB"/>
              </w:rPr>
            </w:pPr>
            <w:r w:rsidRPr="00631C1B">
              <w:rPr>
                <w:lang w:eastAsia="en-GB"/>
              </w:rPr>
              <w:t>£9,980.00 </w:t>
            </w:r>
          </w:p>
        </w:tc>
      </w:tr>
      <w:tr w:rsidR="00A81061" w:rsidRPr="00631C1B" w14:paraId="5E08436D" w14:textId="77777777" w:rsidTr="00C77F5C">
        <w:trPr>
          <w:trHeight w:val="67"/>
        </w:trPr>
        <w:tc>
          <w:tcPr>
            <w:tcW w:w="1902" w:type="pct"/>
          </w:tcPr>
          <w:p w14:paraId="0105269A" w14:textId="265EFAB0" w:rsidR="00A81061" w:rsidRPr="00631C1B" w:rsidRDefault="00A81061" w:rsidP="002A7E56">
            <w:pPr>
              <w:rPr>
                <w:lang w:eastAsia="en-GB"/>
              </w:rPr>
            </w:pPr>
            <w:r w:rsidRPr="00631C1B">
              <w:rPr>
                <w:lang w:eastAsia="en-GB"/>
              </w:rPr>
              <w:t>Ayr Gaiety Partnership</w:t>
            </w:r>
          </w:p>
        </w:tc>
        <w:tc>
          <w:tcPr>
            <w:tcW w:w="1651" w:type="pct"/>
          </w:tcPr>
          <w:p w14:paraId="3DA680D1" w14:textId="696D4872" w:rsidR="00A81061" w:rsidRPr="00631C1B" w:rsidRDefault="00A81061" w:rsidP="002A7E56">
            <w:pPr>
              <w:rPr>
                <w:lang w:eastAsia="en-GB"/>
              </w:rPr>
            </w:pPr>
            <w:r w:rsidRPr="00631C1B">
              <w:rPr>
                <w:lang w:eastAsia="en-GB"/>
              </w:rPr>
              <w:t>South Ayrshire</w:t>
            </w:r>
          </w:p>
        </w:tc>
        <w:tc>
          <w:tcPr>
            <w:tcW w:w="1447" w:type="pct"/>
          </w:tcPr>
          <w:p w14:paraId="37A8B3D8" w14:textId="3FC1C73A" w:rsidR="00A81061" w:rsidRPr="00631C1B" w:rsidRDefault="00A81061" w:rsidP="002A7E56">
            <w:pPr>
              <w:rPr>
                <w:lang w:eastAsia="en-GB"/>
              </w:rPr>
            </w:pPr>
            <w:r w:rsidRPr="00631C1B">
              <w:rPr>
                <w:lang w:eastAsia="en-GB"/>
              </w:rPr>
              <w:t>£10,000.00 </w:t>
            </w:r>
          </w:p>
        </w:tc>
      </w:tr>
      <w:tr w:rsidR="00A81061" w:rsidRPr="00631C1B" w14:paraId="1C770C7E" w14:textId="77777777" w:rsidTr="00C77F5C">
        <w:trPr>
          <w:trHeight w:val="79"/>
        </w:trPr>
        <w:tc>
          <w:tcPr>
            <w:tcW w:w="1902" w:type="pct"/>
          </w:tcPr>
          <w:p w14:paraId="7E0FA441" w14:textId="5B00CB8C" w:rsidR="00A81061" w:rsidRPr="00631C1B" w:rsidRDefault="00A81061" w:rsidP="002A7E56">
            <w:pPr>
              <w:rPr>
                <w:lang w:eastAsia="en-GB"/>
              </w:rPr>
            </w:pPr>
            <w:r w:rsidRPr="00631C1B">
              <w:rPr>
                <w:lang w:eastAsia="en-GB"/>
              </w:rPr>
              <w:t>Barnardo's Scotland </w:t>
            </w:r>
          </w:p>
        </w:tc>
        <w:tc>
          <w:tcPr>
            <w:tcW w:w="1651" w:type="pct"/>
          </w:tcPr>
          <w:p w14:paraId="391D54E3" w14:textId="498A5CDA" w:rsidR="00A81061" w:rsidRPr="00631C1B" w:rsidRDefault="00A81061" w:rsidP="002A7E56">
            <w:pPr>
              <w:rPr>
                <w:lang w:eastAsia="en-GB"/>
              </w:rPr>
            </w:pPr>
            <w:r w:rsidRPr="00631C1B">
              <w:rPr>
                <w:lang w:eastAsia="en-GB"/>
              </w:rPr>
              <w:t>South Ayrshire</w:t>
            </w:r>
          </w:p>
        </w:tc>
        <w:tc>
          <w:tcPr>
            <w:tcW w:w="1447" w:type="pct"/>
          </w:tcPr>
          <w:p w14:paraId="354E6B4C" w14:textId="5F768953" w:rsidR="00A81061" w:rsidRPr="00631C1B" w:rsidRDefault="00A81061" w:rsidP="002A7E56">
            <w:pPr>
              <w:rPr>
                <w:lang w:eastAsia="en-GB"/>
              </w:rPr>
            </w:pPr>
            <w:r w:rsidRPr="00631C1B">
              <w:rPr>
                <w:lang w:eastAsia="en-GB"/>
              </w:rPr>
              <w:t>£5,000.00 </w:t>
            </w:r>
          </w:p>
        </w:tc>
      </w:tr>
      <w:tr w:rsidR="00A81061" w:rsidRPr="00631C1B" w14:paraId="21F21F38" w14:textId="77777777" w:rsidTr="00C77F5C">
        <w:trPr>
          <w:trHeight w:val="79"/>
        </w:trPr>
        <w:tc>
          <w:tcPr>
            <w:tcW w:w="1902" w:type="pct"/>
          </w:tcPr>
          <w:p w14:paraId="56119BFD" w14:textId="3965166D" w:rsidR="00A81061" w:rsidRPr="00631C1B" w:rsidRDefault="00A81061" w:rsidP="002A7E56">
            <w:pPr>
              <w:rPr>
                <w:lang w:eastAsia="en-GB"/>
              </w:rPr>
            </w:pPr>
            <w:r w:rsidRPr="00631C1B">
              <w:rPr>
                <w:lang w:eastAsia="en-GB"/>
              </w:rPr>
              <w:t>Scottish Youth Film Festival </w:t>
            </w:r>
          </w:p>
        </w:tc>
        <w:tc>
          <w:tcPr>
            <w:tcW w:w="1651" w:type="pct"/>
          </w:tcPr>
          <w:p w14:paraId="7C9A1465" w14:textId="1287BDA6" w:rsidR="00A81061" w:rsidRPr="00631C1B" w:rsidRDefault="00A81061" w:rsidP="002A7E56">
            <w:pPr>
              <w:rPr>
                <w:lang w:eastAsia="en-GB"/>
              </w:rPr>
            </w:pPr>
            <w:r w:rsidRPr="00631C1B">
              <w:rPr>
                <w:lang w:eastAsia="en-GB"/>
              </w:rPr>
              <w:t>South Ayrshire</w:t>
            </w:r>
          </w:p>
        </w:tc>
        <w:tc>
          <w:tcPr>
            <w:tcW w:w="1447" w:type="pct"/>
          </w:tcPr>
          <w:p w14:paraId="3E0D5E94" w14:textId="18014C2A" w:rsidR="00A81061" w:rsidRPr="00631C1B" w:rsidRDefault="00A81061" w:rsidP="002A7E56">
            <w:pPr>
              <w:rPr>
                <w:lang w:eastAsia="en-GB"/>
              </w:rPr>
            </w:pPr>
            <w:r w:rsidRPr="00631C1B">
              <w:rPr>
                <w:lang w:eastAsia="en-GB"/>
              </w:rPr>
              <w:t>£9,900.00 </w:t>
            </w:r>
          </w:p>
        </w:tc>
      </w:tr>
      <w:tr w:rsidR="00A81061" w:rsidRPr="00631C1B" w14:paraId="57A36064" w14:textId="77777777" w:rsidTr="00C77F5C">
        <w:trPr>
          <w:trHeight w:val="79"/>
        </w:trPr>
        <w:tc>
          <w:tcPr>
            <w:tcW w:w="1902" w:type="pct"/>
          </w:tcPr>
          <w:p w14:paraId="60A47DCF" w14:textId="3594A74C" w:rsidR="00A81061" w:rsidRPr="00631C1B" w:rsidRDefault="00A81061" w:rsidP="002A7E56">
            <w:pPr>
              <w:rPr>
                <w:lang w:eastAsia="en-GB"/>
              </w:rPr>
            </w:pPr>
            <w:r w:rsidRPr="00631C1B">
              <w:rPr>
                <w:lang w:eastAsia="en-GB"/>
              </w:rPr>
              <w:t>Southside Film Festival CIC</w:t>
            </w:r>
          </w:p>
        </w:tc>
        <w:tc>
          <w:tcPr>
            <w:tcW w:w="1651" w:type="pct"/>
          </w:tcPr>
          <w:p w14:paraId="217B5F91" w14:textId="7E159565" w:rsidR="00A81061" w:rsidRPr="00631C1B" w:rsidRDefault="00A81061" w:rsidP="002A7E56">
            <w:pPr>
              <w:rPr>
                <w:lang w:eastAsia="en-GB"/>
              </w:rPr>
            </w:pPr>
            <w:r w:rsidRPr="00631C1B">
              <w:rPr>
                <w:lang w:eastAsia="en-GB"/>
              </w:rPr>
              <w:t>South Lanarkshire</w:t>
            </w:r>
          </w:p>
        </w:tc>
        <w:tc>
          <w:tcPr>
            <w:tcW w:w="1447" w:type="pct"/>
          </w:tcPr>
          <w:p w14:paraId="150E10B3" w14:textId="6AF87823" w:rsidR="00A81061" w:rsidRPr="00631C1B" w:rsidRDefault="00A81061" w:rsidP="002A7E56">
            <w:pPr>
              <w:rPr>
                <w:lang w:eastAsia="en-GB"/>
              </w:rPr>
            </w:pPr>
            <w:r w:rsidRPr="00631C1B">
              <w:rPr>
                <w:lang w:eastAsia="en-GB"/>
              </w:rPr>
              <w:t>£4,095.00 </w:t>
            </w:r>
          </w:p>
        </w:tc>
      </w:tr>
      <w:tr w:rsidR="00A81061" w:rsidRPr="00631C1B" w14:paraId="0FA2FE95" w14:textId="77777777" w:rsidTr="00C77F5C">
        <w:trPr>
          <w:trHeight w:val="79"/>
        </w:trPr>
        <w:tc>
          <w:tcPr>
            <w:tcW w:w="1902" w:type="pct"/>
          </w:tcPr>
          <w:p w14:paraId="780AE1B8" w14:textId="242059BB" w:rsidR="00A81061" w:rsidRPr="00631C1B" w:rsidRDefault="00A81061" w:rsidP="002A7E56">
            <w:pPr>
              <w:rPr>
                <w:lang w:eastAsia="en-GB"/>
              </w:rPr>
            </w:pPr>
            <w:r w:rsidRPr="00631C1B">
              <w:rPr>
                <w:lang w:eastAsia="en-GB"/>
              </w:rPr>
              <w:t>Cambuslang Universal Connections </w:t>
            </w:r>
          </w:p>
        </w:tc>
        <w:tc>
          <w:tcPr>
            <w:tcW w:w="1651" w:type="pct"/>
          </w:tcPr>
          <w:p w14:paraId="54824614" w14:textId="58A75EE3" w:rsidR="00A81061" w:rsidRPr="00631C1B" w:rsidRDefault="00A81061" w:rsidP="002A7E56">
            <w:pPr>
              <w:rPr>
                <w:lang w:eastAsia="en-GB"/>
              </w:rPr>
            </w:pPr>
            <w:r w:rsidRPr="00631C1B">
              <w:rPr>
                <w:lang w:eastAsia="en-GB"/>
              </w:rPr>
              <w:t>South Lanarkshire</w:t>
            </w:r>
          </w:p>
        </w:tc>
        <w:tc>
          <w:tcPr>
            <w:tcW w:w="1447" w:type="pct"/>
          </w:tcPr>
          <w:p w14:paraId="24C75F62" w14:textId="2FE5055A" w:rsidR="00A81061" w:rsidRPr="00631C1B" w:rsidRDefault="00A81061" w:rsidP="002A7E56">
            <w:pPr>
              <w:rPr>
                <w:lang w:eastAsia="en-GB"/>
              </w:rPr>
            </w:pPr>
            <w:r w:rsidRPr="00631C1B">
              <w:rPr>
                <w:lang w:eastAsia="en-GB"/>
              </w:rPr>
              <w:t>£8,896.00 </w:t>
            </w:r>
          </w:p>
        </w:tc>
      </w:tr>
      <w:tr w:rsidR="00A81061" w:rsidRPr="00631C1B" w14:paraId="12D74AB1" w14:textId="77777777" w:rsidTr="00C77F5C">
        <w:trPr>
          <w:trHeight w:val="79"/>
        </w:trPr>
        <w:tc>
          <w:tcPr>
            <w:tcW w:w="1902" w:type="pct"/>
          </w:tcPr>
          <w:p w14:paraId="7B0D54A5" w14:textId="1F49B24A" w:rsidR="00A81061" w:rsidRPr="00631C1B" w:rsidRDefault="00A81061" w:rsidP="002A7E56">
            <w:pPr>
              <w:rPr>
                <w:lang w:eastAsia="en-GB"/>
              </w:rPr>
            </w:pPr>
            <w:r w:rsidRPr="00631C1B">
              <w:rPr>
                <w:lang w:eastAsia="en-GB"/>
              </w:rPr>
              <w:t>Tolbooth (Stirling Council)</w:t>
            </w:r>
          </w:p>
        </w:tc>
        <w:tc>
          <w:tcPr>
            <w:tcW w:w="1651" w:type="pct"/>
          </w:tcPr>
          <w:p w14:paraId="497538D3" w14:textId="4790DD96" w:rsidR="00A81061" w:rsidRPr="00631C1B" w:rsidRDefault="00A81061" w:rsidP="002A7E56">
            <w:pPr>
              <w:rPr>
                <w:lang w:eastAsia="en-GB"/>
              </w:rPr>
            </w:pPr>
            <w:r w:rsidRPr="00631C1B">
              <w:rPr>
                <w:lang w:eastAsia="en-GB"/>
              </w:rPr>
              <w:t>Stirling</w:t>
            </w:r>
          </w:p>
        </w:tc>
        <w:tc>
          <w:tcPr>
            <w:tcW w:w="1447" w:type="pct"/>
          </w:tcPr>
          <w:p w14:paraId="3111CC4C" w14:textId="33242D97" w:rsidR="00A81061" w:rsidRPr="00631C1B" w:rsidRDefault="00A81061" w:rsidP="002A7E56">
            <w:pPr>
              <w:rPr>
                <w:lang w:eastAsia="en-GB"/>
              </w:rPr>
            </w:pPr>
            <w:r w:rsidRPr="00631C1B">
              <w:rPr>
                <w:lang w:eastAsia="en-GB"/>
              </w:rPr>
              <w:t>£6,843.00 </w:t>
            </w:r>
          </w:p>
        </w:tc>
      </w:tr>
      <w:tr w:rsidR="00A81061" w:rsidRPr="00631C1B" w14:paraId="20AD5263" w14:textId="77777777" w:rsidTr="00C77F5C">
        <w:trPr>
          <w:trHeight w:val="79"/>
        </w:trPr>
        <w:tc>
          <w:tcPr>
            <w:tcW w:w="1902" w:type="pct"/>
          </w:tcPr>
          <w:p w14:paraId="2520E9F6" w14:textId="33FE175B" w:rsidR="00A81061" w:rsidRPr="00631C1B" w:rsidRDefault="00A81061" w:rsidP="002A7E56">
            <w:pPr>
              <w:rPr>
                <w:rFonts w:ascii="Times New Roman" w:hAnsi="Times New Roman" w:cs="Times New Roman"/>
                <w:lang w:eastAsia="en-GB"/>
              </w:rPr>
            </w:pPr>
            <w:r w:rsidRPr="00631C1B">
              <w:rPr>
                <w:lang w:eastAsia="en-GB"/>
              </w:rPr>
              <w:t>RIG Arts</w:t>
            </w:r>
          </w:p>
        </w:tc>
        <w:tc>
          <w:tcPr>
            <w:tcW w:w="1651" w:type="pct"/>
          </w:tcPr>
          <w:p w14:paraId="7ABC49C5" w14:textId="678DDC8D" w:rsidR="00A81061" w:rsidRPr="00631C1B" w:rsidRDefault="00A81061" w:rsidP="002A7E56">
            <w:pPr>
              <w:rPr>
                <w:lang w:eastAsia="en-GB"/>
              </w:rPr>
            </w:pPr>
            <w:r w:rsidRPr="00631C1B">
              <w:rPr>
                <w:lang w:eastAsia="en-GB"/>
              </w:rPr>
              <w:t>West Dunbartonshire</w:t>
            </w:r>
          </w:p>
        </w:tc>
        <w:tc>
          <w:tcPr>
            <w:tcW w:w="1447" w:type="pct"/>
          </w:tcPr>
          <w:p w14:paraId="24670EBE" w14:textId="34F7B495" w:rsidR="00A81061" w:rsidRPr="00631C1B" w:rsidRDefault="00A81061" w:rsidP="002A7E56">
            <w:pPr>
              <w:rPr>
                <w:lang w:eastAsia="en-GB"/>
              </w:rPr>
            </w:pPr>
            <w:r w:rsidRPr="00631C1B">
              <w:rPr>
                <w:lang w:eastAsia="en-GB"/>
              </w:rPr>
              <w:t>£6,806.40 </w:t>
            </w:r>
          </w:p>
        </w:tc>
      </w:tr>
      <w:tr w:rsidR="00A81061" w:rsidRPr="00631C1B" w14:paraId="1B6EC35D" w14:textId="77777777" w:rsidTr="00C77F5C">
        <w:trPr>
          <w:trHeight w:val="79"/>
        </w:trPr>
        <w:tc>
          <w:tcPr>
            <w:tcW w:w="1902" w:type="pct"/>
          </w:tcPr>
          <w:p w14:paraId="31BDB837" w14:textId="77777777" w:rsidR="00A81061" w:rsidRPr="00631C1B" w:rsidRDefault="00A81061" w:rsidP="002A7E56">
            <w:pPr>
              <w:rPr>
                <w:b/>
              </w:rPr>
            </w:pPr>
          </w:p>
        </w:tc>
        <w:tc>
          <w:tcPr>
            <w:tcW w:w="1651" w:type="pct"/>
          </w:tcPr>
          <w:p w14:paraId="5650E88D" w14:textId="1D1CDFB8" w:rsidR="00A81061" w:rsidRPr="00631C1B" w:rsidRDefault="00A81061" w:rsidP="002A7E56">
            <w:pPr>
              <w:rPr>
                <w:b/>
              </w:rPr>
            </w:pPr>
            <w:r w:rsidRPr="00631C1B">
              <w:rPr>
                <w:b/>
              </w:rPr>
              <w:t>T</w:t>
            </w:r>
            <w:r w:rsidR="00C60550" w:rsidRPr="00631C1B">
              <w:rPr>
                <w:b/>
              </w:rPr>
              <w:t>OTAL</w:t>
            </w:r>
          </w:p>
        </w:tc>
        <w:tc>
          <w:tcPr>
            <w:tcW w:w="1447" w:type="pct"/>
          </w:tcPr>
          <w:p w14:paraId="78F64981" w14:textId="4024EC3B" w:rsidR="00A81061" w:rsidRPr="00842AD4" w:rsidRDefault="00AB70FB" w:rsidP="002A7E56">
            <w:pPr>
              <w:rPr>
                <w:b/>
              </w:rPr>
            </w:pPr>
            <w:r w:rsidRPr="00842AD4">
              <w:rPr>
                <w:b/>
              </w:rPr>
              <w:t>£32</w:t>
            </w:r>
            <w:r w:rsidR="00F43459" w:rsidRPr="00842AD4">
              <w:rPr>
                <w:b/>
              </w:rPr>
              <w:t>0</w:t>
            </w:r>
            <w:r w:rsidRPr="00842AD4">
              <w:rPr>
                <w:b/>
              </w:rPr>
              <w:t>,281.68</w:t>
            </w:r>
          </w:p>
        </w:tc>
      </w:tr>
      <w:tr w:rsidR="00062B36" w:rsidRPr="00631C1B" w14:paraId="58670655" w14:textId="77777777" w:rsidTr="00C77F5C">
        <w:trPr>
          <w:trHeight w:val="79"/>
        </w:trPr>
        <w:tc>
          <w:tcPr>
            <w:tcW w:w="1902" w:type="pct"/>
          </w:tcPr>
          <w:p w14:paraId="5C12B1E0" w14:textId="77777777" w:rsidR="00062B36" w:rsidRPr="00631C1B" w:rsidRDefault="00062B36" w:rsidP="002A7E56">
            <w:pPr>
              <w:rPr>
                <w:b/>
              </w:rPr>
            </w:pPr>
          </w:p>
        </w:tc>
        <w:tc>
          <w:tcPr>
            <w:tcW w:w="1651" w:type="pct"/>
          </w:tcPr>
          <w:p w14:paraId="543ECD45" w14:textId="283DCD29" w:rsidR="00062B36" w:rsidRPr="00631C1B" w:rsidRDefault="00062B36" w:rsidP="002A7E56">
            <w:pPr>
              <w:rPr>
                <w:b/>
              </w:rPr>
            </w:pPr>
            <w:r w:rsidRPr="00631C1B">
              <w:rPr>
                <w:b/>
              </w:rPr>
              <w:t>AVERAGE PER LOCAL AUTHORITY</w:t>
            </w:r>
          </w:p>
        </w:tc>
        <w:tc>
          <w:tcPr>
            <w:tcW w:w="1447" w:type="pct"/>
          </w:tcPr>
          <w:p w14:paraId="0855A351" w14:textId="037B2249" w:rsidR="00062B36" w:rsidRPr="00842AD4" w:rsidRDefault="004329A8" w:rsidP="002A7E56">
            <w:pPr>
              <w:rPr>
                <w:b/>
              </w:rPr>
            </w:pPr>
            <w:r w:rsidRPr="00842AD4">
              <w:rPr>
                <w:b/>
              </w:rPr>
              <w:t>£7,</w:t>
            </w:r>
            <w:r w:rsidR="001152E4" w:rsidRPr="00842AD4">
              <w:rPr>
                <w:b/>
              </w:rPr>
              <w:t>161</w:t>
            </w:r>
            <w:r w:rsidR="00332D2C" w:rsidRPr="00842AD4">
              <w:rPr>
                <w:b/>
              </w:rPr>
              <w:t>.82</w:t>
            </w:r>
          </w:p>
        </w:tc>
      </w:tr>
    </w:tbl>
    <w:p w14:paraId="5F74F881" w14:textId="01F87445" w:rsidR="00102B25" w:rsidRPr="00631C1B" w:rsidRDefault="00102B25" w:rsidP="00200578">
      <w:pPr>
        <w:pStyle w:val="Source"/>
        <w:rPr>
          <w:szCs w:val="14"/>
        </w:rPr>
      </w:pPr>
      <w:r w:rsidRPr="00631C1B">
        <w:rPr>
          <w:szCs w:val="14"/>
        </w:rPr>
        <w:t>Source: Creative Scotland</w:t>
      </w:r>
      <w:r w:rsidR="00C60550" w:rsidRPr="00631C1B">
        <w:rPr>
          <w:szCs w:val="14"/>
        </w:rPr>
        <w:t xml:space="preserve"> (2020)</w:t>
      </w:r>
    </w:p>
    <w:p w14:paraId="7303760A" w14:textId="77777777" w:rsidR="001A401B" w:rsidRPr="00631C1B" w:rsidRDefault="001A401B" w:rsidP="009A3F2B">
      <w:pPr>
        <w:pStyle w:val="Caption"/>
      </w:pPr>
    </w:p>
    <w:p w14:paraId="0FB6B32A" w14:textId="389652F3" w:rsidR="00790C6E" w:rsidRPr="00631C1B" w:rsidRDefault="00790C6E" w:rsidP="009A3F2B">
      <w:pPr>
        <w:pStyle w:val="Caption"/>
      </w:pPr>
      <w:bookmarkStart w:id="55" w:name="_Toc42266755"/>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20</w:t>
      </w:r>
      <w:r w:rsidRPr="00631C1B">
        <w:rPr>
          <w:noProof/>
        </w:rPr>
        <w:fldChar w:fldCharType="end"/>
      </w:r>
      <w:r w:rsidRPr="00631C1B">
        <w:t xml:space="preserve">  </w:t>
      </w:r>
      <w:proofErr w:type="spellStart"/>
      <w:r w:rsidR="00281FAF" w:rsidRPr="00631C1B">
        <w:t>CashBack</w:t>
      </w:r>
      <w:proofErr w:type="spellEnd"/>
      <w:r w:rsidRPr="00631C1B">
        <w:t xml:space="preserve"> for Creativity Open Fund</w:t>
      </w:r>
      <w:r w:rsidR="00C216AF" w:rsidRPr="00631C1B">
        <w:t xml:space="preserve"> Year 3</w:t>
      </w:r>
      <w:r w:rsidRPr="00631C1B">
        <w:t xml:space="preserve"> organisations – spend by Local Authority</w:t>
      </w:r>
      <w:bookmarkEnd w:id="55"/>
    </w:p>
    <w:tbl>
      <w:tblPr>
        <w:tblStyle w:val="BOPtable"/>
        <w:tblW w:w="5000" w:type="pct"/>
        <w:tblLook w:val="04A0" w:firstRow="1" w:lastRow="0" w:firstColumn="1" w:lastColumn="0" w:noHBand="0" w:noVBand="1"/>
      </w:tblPr>
      <w:tblGrid>
        <w:gridCol w:w="3808"/>
        <w:gridCol w:w="3552"/>
        <w:gridCol w:w="3894"/>
        <w:gridCol w:w="3656"/>
      </w:tblGrid>
      <w:tr w:rsidR="009D5033" w:rsidRPr="00C77F5C" w14:paraId="5C634772" w14:textId="77777777" w:rsidTr="00C77F5C">
        <w:trPr>
          <w:cnfStyle w:val="100000000000" w:firstRow="1" w:lastRow="0" w:firstColumn="0" w:lastColumn="0" w:oddVBand="0" w:evenVBand="0" w:oddHBand="0" w:evenHBand="0" w:firstRowFirstColumn="0" w:firstRowLastColumn="0" w:lastRowFirstColumn="0" w:lastRowLastColumn="0"/>
          <w:trHeight w:val="197"/>
        </w:trPr>
        <w:tc>
          <w:tcPr>
            <w:tcW w:w="1277" w:type="pct"/>
          </w:tcPr>
          <w:p w14:paraId="6F03FF4A" w14:textId="13B30136" w:rsidR="009D5033" w:rsidRPr="00C77F5C" w:rsidRDefault="009D5033" w:rsidP="009A3F2B">
            <w:pPr>
              <w:rPr>
                <w:sz w:val="18"/>
                <w:szCs w:val="18"/>
              </w:rPr>
            </w:pPr>
            <w:r w:rsidRPr="00C77F5C">
              <w:rPr>
                <w:sz w:val="18"/>
                <w:szCs w:val="18"/>
              </w:rPr>
              <w:t>Local Authority</w:t>
            </w:r>
          </w:p>
        </w:tc>
        <w:tc>
          <w:tcPr>
            <w:tcW w:w="1191" w:type="pct"/>
          </w:tcPr>
          <w:p w14:paraId="43D66DA2" w14:textId="6AF224C8" w:rsidR="009D5033" w:rsidRPr="00C77F5C" w:rsidRDefault="009D5033" w:rsidP="009A3F2B">
            <w:pPr>
              <w:rPr>
                <w:sz w:val="18"/>
                <w:szCs w:val="18"/>
              </w:rPr>
            </w:pPr>
            <w:r w:rsidRPr="00C77F5C">
              <w:rPr>
                <w:sz w:val="18"/>
                <w:szCs w:val="18"/>
              </w:rPr>
              <w:t>No. of organisations funded</w:t>
            </w:r>
          </w:p>
        </w:tc>
        <w:tc>
          <w:tcPr>
            <w:tcW w:w="1306" w:type="pct"/>
          </w:tcPr>
          <w:p w14:paraId="07659A18" w14:textId="5912DDDE" w:rsidR="009D5033" w:rsidRPr="00C77F5C" w:rsidRDefault="009D5033" w:rsidP="009A3F2B">
            <w:pPr>
              <w:rPr>
                <w:sz w:val="18"/>
                <w:szCs w:val="18"/>
              </w:rPr>
            </w:pPr>
            <w:r w:rsidRPr="00C77F5C">
              <w:rPr>
                <w:sz w:val="18"/>
                <w:szCs w:val="18"/>
              </w:rPr>
              <w:t>Total Actual spend</w:t>
            </w:r>
          </w:p>
        </w:tc>
        <w:tc>
          <w:tcPr>
            <w:tcW w:w="1226" w:type="pct"/>
          </w:tcPr>
          <w:p w14:paraId="5FD546E2" w14:textId="72983DB4" w:rsidR="009D5033" w:rsidRPr="00C77F5C" w:rsidRDefault="009D5033" w:rsidP="009A3F2B">
            <w:pPr>
              <w:rPr>
                <w:sz w:val="18"/>
                <w:szCs w:val="18"/>
              </w:rPr>
            </w:pPr>
            <w:r w:rsidRPr="00C77F5C">
              <w:rPr>
                <w:sz w:val="18"/>
                <w:szCs w:val="18"/>
              </w:rPr>
              <w:t>Average Actual Spend</w:t>
            </w:r>
          </w:p>
        </w:tc>
      </w:tr>
      <w:tr w:rsidR="00D70A06" w:rsidRPr="00C77F5C" w14:paraId="22BA10AA" w14:textId="77777777" w:rsidTr="00C77F5C">
        <w:trPr>
          <w:trHeight w:val="181"/>
        </w:trPr>
        <w:tc>
          <w:tcPr>
            <w:tcW w:w="1277" w:type="pct"/>
          </w:tcPr>
          <w:p w14:paraId="67B8DA18" w14:textId="35B45541" w:rsidR="00D70A06" w:rsidRPr="00C77F5C" w:rsidRDefault="00D70A06" w:rsidP="00D70A06">
            <w:pPr>
              <w:rPr>
                <w:sz w:val="18"/>
                <w:szCs w:val="18"/>
              </w:rPr>
            </w:pPr>
            <w:r w:rsidRPr="00C77F5C">
              <w:rPr>
                <w:sz w:val="18"/>
                <w:szCs w:val="18"/>
              </w:rPr>
              <w:t>Aberdeenshire</w:t>
            </w:r>
          </w:p>
        </w:tc>
        <w:tc>
          <w:tcPr>
            <w:tcW w:w="1191" w:type="pct"/>
          </w:tcPr>
          <w:p w14:paraId="4BA71301" w14:textId="30F2EC5B" w:rsidR="00D70A06" w:rsidRPr="00C77F5C" w:rsidRDefault="00D70A06" w:rsidP="00D70A06">
            <w:pPr>
              <w:rPr>
                <w:sz w:val="18"/>
                <w:szCs w:val="18"/>
              </w:rPr>
            </w:pPr>
            <w:r w:rsidRPr="00C77F5C">
              <w:rPr>
                <w:sz w:val="18"/>
                <w:szCs w:val="18"/>
              </w:rPr>
              <w:t>1</w:t>
            </w:r>
          </w:p>
        </w:tc>
        <w:tc>
          <w:tcPr>
            <w:tcW w:w="1306" w:type="pct"/>
          </w:tcPr>
          <w:p w14:paraId="3993CA53" w14:textId="60AF99AB" w:rsidR="00D70A06" w:rsidRPr="00C77F5C" w:rsidRDefault="00D70A06" w:rsidP="00D70A06">
            <w:pPr>
              <w:rPr>
                <w:sz w:val="18"/>
                <w:szCs w:val="18"/>
              </w:rPr>
            </w:pPr>
            <w:r w:rsidRPr="00C77F5C">
              <w:rPr>
                <w:sz w:val="18"/>
                <w:szCs w:val="18"/>
              </w:rPr>
              <w:t xml:space="preserve">£8,000.00 </w:t>
            </w:r>
          </w:p>
        </w:tc>
        <w:tc>
          <w:tcPr>
            <w:tcW w:w="1226" w:type="pct"/>
          </w:tcPr>
          <w:p w14:paraId="75C59270" w14:textId="677893EF" w:rsidR="00D70A06" w:rsidRPr="00C77F5C" w:rsidRDefault="00D70A06" w:rsidP="00D70A06">
            <w:pPr>
              <w:rPr>
                <w:sz w:val="18"/>
                <w:szCs w:val="18"/>
              </w:rPr>
            </w:pPr>
            <w:r w:rsidRPr="00C77F5C">
              <w:rPr>
                <w:sz w:val="18"/>
                <w:szCs w:val="18"/>
              </w:rPr>
              <w:t xml:space="preserve"> £8,000.00 </w:t>
            </w:r>
          </w:p>
        </w:tc>
      </w:tr>
      <w:tr w:rsidR="00D70A06" w:rsidRPr="00C77F5C" w14:paraId="7CBF975E" w14:textId="77777777" w:rsidTr="00C77F5C">
        <w:trPr>
          <w:trHeight w:val="197"/>
        </w:trPr>
        <w:tc>
          <w:tcPr>
            <w:tcW w:w="1277" w:type="pct"/>
          </w:tcPr>
          <w:p w14:paraId="571E124A" w14:textId="358D5D7B" w:rsidR="00D70A06" w:rsidRPr="00C77F5C" w:rsidRDefault="00D70A06" w:rsidP="00D70A06">
            <w:pPr>
              <w:rPr>
                <w:sz w:val="18"/>
                <w:szCs w:val="18"/>
              </w:rPr>
            </w:pPr>
            <w:r w:rsidRPr="00C77F5C">
              <w:rPr>
                <w:sz w:val="18"/>
                <w:szCs w:val="18"/>
              </w:rPr>
              <w:t>Angus</w:t>
            </w:r>
          </w:p>
        </w:tc>
        <w:tc>
          <w:tcPr>
            <w:tcW w:w="1191" w:type="pct"/>
          </w:tcPr>
          <w:p w14:paraId="6A69ED75" w14:textId="72622364" w:rsidR="00D70A06" w:rsidRPr="00C77F5C" w:rsidRDefault="00D70A06" w:rsidP="00D70A06">
            <w:pPr>
              <w:rPr>
                <w:sz w:val="18"/>
                <w:szCs w:val="18"/>
              </w:rPr>
            </w:pPr>
            <w:r w:rsidRPr="00C77F5C">
              <w:rPr>
                <w:sz w:val="18"/>
                <w:szCs w:val="18"/>
              </w:rPr>
              <w:t>2</w:t>
            </w:r>
          </w:p>
        </w:tc>
        <w:tc>
          <w:tcPr>
            <w:tcW w:w="1306" w:type="pct"/>
          </w:tcPr>
          <w:p w14:paraId="37B07421" w14:textId="62FBA15A" w:rsidR="00D70A06" w:rsidRPr="00C77F5C" w:rsidRDefault="00D70A06" w:rsidP="00D70A06">
            <w:pPr>
              <w:rPr>
                <w:sz w:val="18"/>
                <w:szCs w:val="18"/>
              </w:rPr>
            </w:pPr>
            <w:r w:rsidRPr="00C77F5C">
              <w:rPr>
                <w:sz w:val="18"/>
                <w:szCs w:val="18"/>
              </w:rPr>
              <w:t xml:space="preserve">£12,452.00 </w:t>
            </w:r>
          </w:p>
        </w:tc>
        <w:tc>
          <w:tcPr>
            <w:tcW w:w="1226" w:type="pct"/>
          </w:tcPr>
          <w:p w14:paraId="0763E843" w14:textId="17D01975" w:rsidR="00D70A06" w:rsidRPr="00C77F5C" w:rsidRDefault="00D70A06" w:rsidP="00D70A06">
            <w:pPr>
              <w:rPr>
                <w:sz w:val="18"/>
                <w:szCs w:val="18"/>
              </w:rPr>
            </w:pPr>
            <w:r w:rsidRPr="00C77F5C">
              <w:rPr>
                <w:sz w:val="18"/>
                <w:szCs w:val="18"/>
              </w:rPr>
              <w:t xml:space="preserve"> £6,226.00 </w:t>
            </w:r>
          </w:p>
        </w:tc>
      </w:tr>
      <w:tr w:rsidR="00D70A06" w:rsidRPr="00C77F5C" w14:paraId="10425CC5" w14:textId="77777777" w:rsidTr="00C77F5C">
        <w:trPr>
          <w:trHeight w:val="181"/>
        </w:trPr>
        <w:tc>
          <w:tcPr>
            <w:tcW w:w="1277" w:type="pct"/>
          </w:tcPr>
          <w:p w14:paraId="5D1EE643" w14:textId="2068A466" w:rsidR="00D70A06" w:rsidRPr="00C77F5C" w:rsidRDefault="00D70A06" w:rsidP="00D70A06">
            <w:pPr>
              <w:rPr>
                <w:sz w:val="18"/>
                <w:szCs w:val="18"/>
              </w:rPr>
            </w:pPr>
            <w:r w:rsidRPr="00C77F5C">
              <w:rPr>
                <w:sz w:val="18"/>
                <w:szCs w:val="18"/>
              </w:rPr>
              <w:t>Argyll and Bute</w:t>
            </w:r>
          </w:p>
        </w:tc>
        <w:tc>
          <w:tcPr>
            <w:tcW w:w="1191" w:type="pct"/>
          </w:tcPr>
          <w:p w14:paraId="17DC1617" w14:textId="39F4A658" w:rsidR="00D70A06" w:rsidRPr="00C77F5C" w:rsidRDefault="00D70A06" w:rsidP="00D70A06">
            <w:pPr>
              <w:rPr>
                <w:sz w:val="18"/>
                <w:szCs w:val="18"/>
              </w:rPr>
            </w:pPr>
            <w:r w:rsidRPr="00C77F5C">
              <w:rPr>
                <w:sz w:val="18"/>
                <w:szCs w:val="18"/>
              </w:rPr>
              <w:t>2</w:t>
            </w:r>
          </w:p>
        </w:tc>
        <w:tc>
          <w:tcPr>
            <w:tcW w:w="1306" w:type="pct"/>
          </w:tcPr>
          <w:p w14:paraId="05746E96" w14:textId="5290CB82" w:rsidR="00D70A06" w:rsidRPr="00C77F5C" w:rsidRDefault="00D70A06" w:rsidP="00D70A06">
            <w:pPr>
              <w:rPr>
                <w:sz w:val="18"/>
                <w:szCs w:val="18"/>
              </w:rPr>
            </w:pPr>
            <w:r w:rsidRPr="00C77F5C">
              <w:rPr>
                <w:sz w:val="18"/>
                <w:szCs w:val="18"/>
              </w:rPr>
              <w:t xml:space="preserve">£19,920.00 </w:t>
            </w:r>
          </w:p>
        </w:tc>
        <w:tc>
          <w:tcPr>
            <w:tcW w:w="1226" w:type="pct"/>
          </w:tcPr>
          <w:p w14:paraId="5EC32697" w14:textId="256D6AFB" w:rsidR="00D70A06" w:rsidRPr="00C77F5C" w:rsidRDefault="00D70A06" w:rsidP="00D70A06">
            <w:pPr>
              <w:rPr>
                <w:sz w:val="18"/>
                <w:szCs w:val="18"/>
              </w:rPr>
            </w:pPr>
            <w:r w:rsidRPr="00C77F5C">
              <w:rPr>
                <w:sz w:val="18"/>
                <w:szCs w:val="18"/>
              </w:rPr>
              <w:t xml:space="preserve"> £9,960.00 </w:t>
            </w:r>
          </w:p>
        </w:tc>
      </w:tr>
      <w:tr w:rsidR="00D70A06" w:rsidRPr="00C77F5C" w14:paraId="15F630DB" w14:textId="77777777" w:rsidTr="00C77F5C">
        <w:trPr>
          <w:trHeight w:val="181"/>
        </w:trPr>
        <w:tc>
          <w:tcPr>
            <w:tcW w:w="1277" w:type="pct"/>
          </w:tcPr>
          <w:p w14:paraId="12834DBA" w14:textId="226586DB" w:rsidR="00D70A06" w:rsidRPr="00C77F5C" w:rsidRDefault="00D70A06" w:rsidP="00D70A06">
            <w:pPr>
              <w:rPr>
                <w:sz w:val="18"/>
                <w:szCs w:val="18"/>
              </w:rPr>
            </w:pPr>
            <w:r w:rsidRPr="00C77F5C">
              <w:rPr>
                <w:sz w:val="18"/>
                <w:szCs w:val="18"/>
              </w:rPr>
              <w:t>City of Edinburgh</w:t>
            </w:r>
          </w:p>
        </w:tc>
        <w:tc>
          <w:tcPr>
            <w:tcW w:w="1191" w:type="pct"/>
          </w:tcPr>
          <w:p w14:paraId="7CAA3E9C" w14:textId="799E50E9" w:rsidR="00D70A06" w:rsidRPr="00C77F5C" w:rsidRDefault="00D70A06" w:rsidP="00D70A06">
            <w:pPr>
              <w:rPr>
                <w:sz w:val="18"/>
                <w:szCs w:val="18"/>
              </w:rPr>
            </w:pPr>
            <w:r w:rsidRPr="00C77F5C">
              <w:rPr>
                <w:sz w:val="18"/>
                <w:szCs w:val="18"/>
              </w:rPr>
              <w:t>5</w:t>
            </w:r>
          </w:p>
        </w:tc>
        <w:tc>
          <w:tcPr>
            <w:tcW w:w="1306" w:type="pct"/>
          </w:tcPr>
          <w:p w14:paraId="52499EDA" w14:textId="75223B0D" w:rsidR="00D70A06" w:rsidRPr="00842AD4" w:rsidRDefault="00D70A06" w:rsidP="00D70A06">
            <w:pPr>
              <w:rPr>
                <w:sz w:val="18"/>
                <w:szCs w:val="18"/>
              </w:rPr>
            </w:pPr>
            <w:r w:rsidRPr="00842AD4">
              <w:rPr>
                <w:sz w:val="18"/>
                <w:szCs w:val="18"/>
              </w:rPr>
              <w:t>£2</w:t>
            </w:r>
            <w:r w:rsidR="00332D2C" w:rsidRPr="00842AD4">
              <w:rPr>
                <w:sz w:val="18"/>
                <w:szCs w:val="18"/>
              </w:rPr>
              <w:t>0</w:t>
            </w:r>
            <w:r w:rsidRPr="00842AD4">
              <w:rPr>
                <w:sz w:val="18"/>
                <w:szCs w:val="18"/>
              </w:rPr>
              <w:t xml:space="preserve">,458.00 </w:t>
            </w:r>
          </w:p>
        </w:tc>
        <w:tc>
          <w:tcPr>
            <w:tcW w:w="1226" w:type="pct"/>
          </w:tcPr>
          <w:p w14:paraId="6D5FF991" w14:textId="6339040E" w:rsidR="00D70A06" w:rsidRPr="00842AD4" w:rsidRDefault="00D70A06" w:rsidP="00D70A06">
            <w:pPr>
              <w:rPr>
                <w:sz w:val="18"/>
                <w:szCs w:val="18"/>
              </w:rPr>
            </w:pPr>
            <w:r w:rsidRPr="00842AD4">
              <w:rPr>
                <w:sz w:val="18"/>
                <w:szCs w:val="18"/>
              </w:rPr>
              <w:t xml:space="preserve"> £4,</w:t>
            </w:r>
            <w:r w:rsidR="00A563DA" w:rsidRPr="00842AD4">
              <w:rPr>
                <w:sz w:val="18"/>
                <w:szCs w:val="18"/>
              </w:rPr>
              <w:t>0</w:t>
            </w:r>
            <w:r w:rsidRPr="00842AD4">
              <w:rPr>
                <w:sz w:val="18"/>
                <w:szCs w:val="18"/>
              </w:rPr>
              <w:t xml:space="preserve">91.60 </w:t>
            </w:r>
          </w:p>
        </w:tc>
      </w:tr>
      <w:tr w:rsidR="00D70A06" w:rsidRPr="00C77F5C" w14:paraId="693731BB" w14:textId="77777777" w:rsidTr="00C77F5C">
        <w:trPr>
          <w:trHeight w:val="181"/>
        </w:trPr>
        <w:tc>
          <w:tcPr>
            <w:tcW w:w="1277" w:type="pct"/>
          </w:tcPr>
          <w:p w14:paraId="765FDC2F" w14:textId="2F94686E" w:rsidR="00D70A06" w:rsidRPr="00C77F5C" w:rsidRDefault="00D70A06" w:rsidP="00D70A06">
            <w:pPr>
              <w:rPr>
                <w:sz w:val="18"/>
                <w:szCs w:val="18"/>
              </w:rPr>
            </w:pPr>
            <w:r w:rsidRPr="00C77F5C">
              <w:rPr>
                <w:sz w:val="18"/>
                <w:szCs w:val="18"/>
              </w:rPr>
              <w:t>Clackmannanshire</w:t>
            </w:r>
          </w:p>
        </w:tc>
        <w:tc>
          <w:tcPr>
            <w:tcW w:w="1191" w:type="pct"/>
          </w:tcPr>
          <w:p w14:paraId="334A891F" w14:textId="4992FDC5" w:rsidR="00D70A06" w:rsidRPr="00C77F5C" w:rsidRDefault="00D70A06" w:rsidP="00D70A06">
            <w:pPr>
              <w:rPr>
                <w:sz w:val="18"/>
                <w:szCs w:val="18"/>
              </w:rPr>
            </w:pPr>
            <w:r w:rsidRPr="00C77F5C">
              <w:rPr>
                <w:sz w:val="18"/>
                <w:szCs w:val="18"/>
              </w:rPr>
              <w:t>1</w:t>
            </w:r>
          </w:p>
        </w:tc>
        <w:tc>
          <w:tcPr>
            <w:tcW w:w="1306" w:type="pct"/>
          </w:tcPr>
          <w:p w14:paraId="568EEA17" w14:textId="56EBE8B0" w:rsidR="00D70A06" w:rsidRPr="00C77F5C" w:rsidRDefault="00D70A06" w:rsidP="00D70A06">
            <w:pPr>
              <w:rPr>
                <w:sz w:val="18"/>
                <w:szCs w:val="18"/>
              </w:rPr>
            </w:pPr>
            <w:r w:rsidRPr="00C77F5C">
              <w:rPr>
                <w:sz w:val="18"/>
                <w:szCs w:val="18"/>
              </w:rPr>
              <w:t xml:space="preserve">£9,510.00 </w:t>
            </w:r>
          </w:p>
        </w:tc>
        <w:tc>
          <w:tcPr>
            <w:tcW w:w="1226" w:type="pct"/>
          </w:tcPr>
          <w:p w14:paraId="43B7474D" w14:textId="3928F902" w:rsidR="00D70A06" w:rsidRPr="00C77F5C" w:rsidRDefault="00D70A06" w:rsidP="00D70A06">
            <w:pPr>
              <w:rPr>
                <w:sz w:val="18"/>
                <w:szCs w:val="18"/>
              </w:rPr>
            </w:pPr>
            <w:r w:rsidRPr="00C77F5C">
              <w:rPr>
                <w:sz w:val="18"/>
                <w:szCs w:val="18"/>
              </w:rPr>
              <w:t xml:space="preserve"> £9,510.00 </w:t>
            </w:r>
          </w:p>
        </w:tc>
      </w:tr>
      <w:tr w:rsidR="00D70A06" w:rsidRPr="00C77F5C" w14:paraId="2D9E9C7D" w14:textId="77777777" w:rsidTr="00C77F5C">
        <w:trPr>
          <w:trHeight w:val="181"/>
        </w:trPr>
        <w:tc>
          <w:tcPr>
            <w:tcW w:w="1277" w:type="pct"/>
          </w:tcPr>
          <w:p w14:paraId="7EB805F9" w14:textId="50E7D3DD" w:rsidR="00D70A06" w:rsidRPr="00C77F5C" w:rsidRDefault="00D70A06" w:rsidP="00D70A06">
            <w:pPr>
              <w:rPr>
                <w:sz w:val="18"/>
                <w:szCs w:val="18"/>
              </w:rPr>
            </w:pPr>
            <w:r w:rsidRPr="00C77F5C">
              <w:rPr>
                <w:sz w:val="18"/>
                <w:szCs w:val="18"/>
              </w:rPr>
              <w:t>Dumfries and Galloway</w:t>
            </w:r>
          </w:p>
        </w:tc>
        <w:tc>
          <w:tcPr>
            <w:tcW w:w="1191" w:type="pct"/>
          </w:tcPr>
          <w:p w14:paraId="4851C553" w14:textId="271E439D" w:rsidR="00D70A06" w:rsidRPr="00C77F5C" w:rsidRDefault="00D70A06" w:rsidP="00D70A06">
            <w:pPr>
              <w:rPr>
                <w:sz w:val="18"/>
                <w:szCs w:val="18"/>
              </w:rPr>
            </w:pPr>
            <w:r w:rsidRPr="00C77F5C">
              <w:rPr>
                <w:sz w:val="18"/>
                <w:szCs w:val="18"/>
              </w:rPr>
              <w:t>2</w:t>
            </w:r>
          </w:p>
        </w:tc>
        <w:tc>
          <w:tcPr>
            <w:tcW w:w="1306" w:type="pct"/>
          </w:tcPr>
          <w:p w14:paraId="74CA1CC9" w14:textId="1A40F05C" w:rsidR="00D70A06" w:rsidRPr="00C77F5C" w:rsidRDefault="00D70A06" w:rsidP="00D70A06">
            <w:pPr>
              <w:rPr>
                <w:sz w:val="18"/>
                <w:szCs w:val="18"/>
              </w:rPr>
            </w:pPr>
            <w:r w:rsidRPr="00C77F5C">
              <w:rPr>
                <w:sz w:val="18"/>
                <w:szCs w:val="18"/>
              </w:rPr>
              <w:t xml:space="preserve">£18,167.00 </w:t>
            </w:r>
          </w:p>
        </w:tc>
        <w:tc>
          <w:tcPr>
            <w:tcW w:w="1226" w:type="pct"/>
          </w:tcPr>
          <w:p w14:paraId="08BF4AA0" w14:textId="73E59EDC" w:rsidR="00D70A06" w:rsidRPr="00C77F5C" w:rsidRDefault="00D70A06" w:rsidP="00D70A06">
            <w:pPr>
              <w:rPr>
                <w:sz w:val="18"/>
                <w:szCs w:val="18"/>
              </w:rPr>
            </w:pPr>
            <w:r w:rsidRPr="00C77F5C">
              <w:rPr>
                <w:sz w:val="18"/>
                <w:szCs w:val="18"/>
              </w:rPr>
              <w:t xml:space="preserve"> £9,083.50 </w:t>
            </w:r>
          </w:p>
        </w:tc>
      </w:tr>
      <w:tr w:rsidR="00D70A06" w:rsidRPr="00C77F5C" w14:paraId="6BCAA9CF" w14:textId="77777777" w:rsidTr="00C77F5C">
        <w:trPr>
          <w:trHeight w:val="181"/>
        </w:trPr>
        <w:tc>
          <w:tcPr>
            <w:tcW w:w="1277" w:type="pct"/>
          </w:tcPr>
          <w:p w14:paraId="4EDF34E4" w14:textId="6857952C" w:rsidR="00D70A06" w:rsidRPr="00C77F5C" w:rsidRDefault="00D70A06" w:rsidP="00D70A06">
            <w:pPr>
              <w:rPr>
                <w:sz w:val="18"/>
                <w:szCs w:val="18"/>
              </w:rPr>
            </w:pPr>
            <w:r w:rsidRPr="00C77F5C">
              <w:rPr>
                <w:sz w:val="18"/>
                <w:szCs w:val="18"/>
              </w:rPr>
              <w:t>Dundee City</w:t>
            </w:r>
          </w:p>
        </w:tc>
        <w:tc>
          <w:tcPr>
            <w:tcW w:w="1191" w:type="pct"/>
          </w:tcPr>
          <w:p w14:paraId="182542C4" w14:textId="4F1497BB" w:rsidR="00D70A06" w:rsidRPr="00C77F5C" w:rsidRDefault="00D70A06" w:rsidP="00D70A06">
            <w:pPr>
              <w:rPr>
                <w:sz w:val="18"/>
                <w:szCs w:val="18"/>
              </w:rPr>
            </w:pPr>
            <w:r w:rsidRPr="00C77F5C">
              <w:rPr>
                <w:sz w:val="18"/>
                <w:szCs w:val="18"/>
              </w:rPr>
              <w:t>1</w:t>
            </w:r>
          </w:p>
        </w:tc>
        <w:tc>
          <w:tcPr>
            <w:tcW w:w="1306" w:type="pct"/>
          </w:tcPr>
          <w:p w14:paraId="63FCF27B" w14:textId="0B996E33" w:rsidR="00D70A06" w:rsidRPr="00C77F5C" w:rsidRDefault="00D70A06" w:rsidP="00D70A06">
            <w:pPr>
              <w:rPr>
                <w:sz w:val="18"/>
                <w:szCs w:val="18"/>
              </w:rPr>
            </w:pPr>
            <w:r w:rsidRPr="00C77F5C">
              <w:rPr>
                <w:sz w:val="18"/>
                <w:szCs w:val="18"/>
              </w:rPr>
              <w:t xml:space="preserve">£8,571.35 </w:t>
            </w:r>
          </w:p>
        </w:tc>
        <w:tc>
          <w:tcPr>
            <w:tcW w:w="1226" w:type="pct"/>
          </w:tcPr>
          <w:p w14:paraId="79EF48D9" w14:textId="4B0C55A8" w:rsidR="00D70A06" w:rsidRPr="00C77F5C" w:rsidRDefault="00D70A06" w:rsidP="00D70A06">
            <w:pPr>
              <w:rPr>
                <w:sz w:val="18"/>
                <w:szCs w:val="18"/>
              </w:rPr>
            </w:pPr>
            <w:r w:rsidRPr="00C77F5C">
              <w:rPr>
                <w:sz w:val="18"/>
                <w:szCs w:val="18"/>
              </w:rPr>
              <w:t xml:space="preserve"> £8,571.35 </w:t>
            </w:r>
          </w:p>
        </w:tc>
      </w:tr>
      <w:tr w:rsidR="00D70A06" w:rsidRPr="00C77F5C" w14:paraId="5F3A5D5B" w14:textId="77777777" w:rsidTr="00C77F5C">
        <w:trPr>
          <w:trHeight w:val="181"/>
        </w:trPr>
        <w:tc>
          <w:tcPr>
            <w:tcW w:w="1277" w:type="pct"/>
          </w:tcPr>
          <w:p w14:paraId="7B4C6F11" w14:textId="191748AA" w:rsidR="00D70A06" w:rsidRPr="00C77F5C" w:rsidRDefault="00D70A06" w:rsidP="00D70A06">
            <w:pPr>
              <w:rPr>
                <w:sz w:val="18"/>
                <w:szCs w:val="18"/>
              </w:rPr>
            </w:pPr>
            <w:r w:rsidRPr="00C77F5C">
              <w:rPr>
                <w:sz w:val="18"/>
                <w:szCs w:val="18"/>
              </w:rPr>
              <w:t>East Ayrshire</w:t>
            </w:r>
          </w:p>
        </w:tc>
        <w:tc>
          <w:tcPr>
            <w:tcW w:w="1191" w:type="pct"/>
          </w:tcPr>
          <w:p w14:paraId="4F8D3350" w14:textId="640DB587" w:rsidR="00D70A06" w:rsidRPr="00C77F5C" w:rsidRDefault="00D70A06" w:rsidP="00D70A06">
            <w:pPr>
              <w:rPr>
                <w:sz w:val="18"/>
                <w:szCs w:val="18"/>
              </w:rPr>
            </w:pPr>
            <w:r w:rsidRPr="00C77F5C">
              <w:rPr>
                <w:sz w:val="18"/>
                <w:szCs w:val="18"/>
              </w:rPr>
              <w:t>1</w:t>
            </w:r>
          </w:p>
        </w:tc>
        <w:tc>
          <w:tcPr>
            <w:tcW w:w="1306" w:type="pct"/>
          </w:tcPr>
          <w:p w14:paraId="3E4DD590" w14:textId="5BF48B34" w:rsidR="00D70A06" w:rsidRPr="00C77F5C" w:rsidRDefault="00D70A06" w:rsidP="00D70A06">
            <w:pPr>
              <w:rPr>
                <w:sz w:val="18"/>
                <w:szCs w:val="18"/>
              </w:rPr>
            </w:pPr>
            <w:r w:rsidRPr="00C77F5C">
              <w:rPr>
                <w:sz w:val="18"/>
                <w:szCs w:val="18"/>
              </w:rPr>
              <w:t xml:space="preserve">£9,900.00 </w:t>
            </w:r>
          </w:p>
        </w:tc>
        <w:tc>
          <w:tcPr>
            <w:tcW w:w="1226" w:type="pct"/>
          </w:tcPr>
          <w:p w14:paraId="4B06CEDA" w14:textId="333EF210" w:rsidR="00D70A06" w:rsidRPr="00C77F5C" w:rsidRDefault="00D70A06" w:rsidP="00D70A06">
            <w:pPr>
              <w:rPr>
                <w:sz w:val="18"/>
                <w:szCs w:val="18"/>
              </w:rPr>
            </w:pPr>
            <w:r w:rsidRPr="00C77F5C">
              <w:rPr>
                <w:sz w:val="18"/>
                <w:szCs w:val="18"/>
              </w:rPr>
              <w:t xml:space="preserve"> £9,900.00 </w:t>
            </w:r>
          </w:p>
        </w:tc>
      </w:tr>
      <w:tr w:rsidR="00D70A06" w:rsidRPr="00C77F5C" w14:paraId="38375CC3" w14:textId="77777777" w:rsidTr="00C77F5C">
        <w:trPr>
          <w:trHeight w:val="181"/>
        </w:trPr>
        <w:tc>
          <w:tcPr>
            <w:tcW w:w="1277" w:type="pct"/>
          </w:tcPr>
          <w:p w14:paraId="64B3547C" w14:textId="42505696" w:rsidR="00D70A06" w:rsidRPr="00C77F5C" w:rsidRDefault="00D70A06" w:rsidP="00D70A06">
            <w:pPr>
              <w:rPr>
                <w:sz w:val="18"/>
                <w:szCs w:val="18"/>
              </w:rPr>
            </w:pPr>
            <w:r w:rsidRPr="00C77F5C">
              <w:rPr>
                <w:sz w:val="18"/>
                <w:szCs w:val="18"/>
              </w:rPr>
              <w:t>Falkirk</w:t>
            </w:r>
          </w:p>
        </w:tc>
        <w:tc>
          <w:tcPr>
            <w:tcW w:w="1191" w:type="pct"/>
          </w:tcPr>
          <w:p w14:paraId="1B8093FD" w14:textId="7CF9D8A7" w:rsidR="00D70A06" w:rsidRPr="00C77F5C" w:rsidRDefault="00D70A06" w:rsidP="00D70A06">
            <w:pPr>
              <w:rPr>
                <w:sz w:val="18"/>
                <w:szCs w:val="18"/>
              </w:rPr>
            </w:pPr>
            <w:r w:rsidRPr="00C77F5C">
              <w:rPr>
                <w:sz w:val="18"/>
                <w:szCs w:val="18"/>
              </w:rPr>
              <w:t>1</w:t>
            </w:r>
          </w:p>
        </w:tc>
        <w:tc>
          <w:tcPr>
            <w:tcW w:w="1306" w:type="pct"/>
          </w:tcPr>
          <w:p w14:paraId="4EBCF270" w14:textId="0CFB3082" w:rsidR="00D70A06" w:rsidRPr="00C77F5C" w:rsidRDefault="00D70A06" w:rsidP="00D70A06">
            <w:pPr>
              <w:rPr>
                <w:sz w:val="18"/>
                <w:szCs w:val="18"/>
              </w:rPr>
            </w:pPr>
            <w:r w:rsidRPr="00C77F5C">
              <w:rPr>
                <w:sz w:val="18"/>
                <w:szCs w:val="18"/>
              </w:rPr>
              <w:t xml:space="preserve">£8,196.00 </w:t>
            </w:r>
          </w:p>
        </w:tc>
        <w:tc>
          <w:tcPr>
            <w:tcW w:w="1226" w:type="pct"/>
          </w:tcPr>
          <w:p w14:paraId="41AD80EA" w14:textId="10D91619" w:rsidR="00D70A06" w:rsidRPr="00C77F5C" w:rsidRDefault="00D70A06" w:rsidP="00D70A06">
            <w:pPr>
              <w:rPr>
                <w:sz w:val="18"/>
                <w:szCs w:val="18"/>
              </w:rPr>
            </w:pPr>
            <w:r w:rsidRPr="00C77F5C">
              <w:rPr>
                <w:sz w:val="18"/>
                <w:szCs w:val="18"/>
              </w:rPr>
              <w:t xml:space="preserve"> £8,196.00 </w:t>
            </w:r>
          </w:p>
        </w:tc>
      </w:tr>
      <w:tr w:rsidR="00D70A06" w:rsidRPr="00C77F5C" w14:paraId="1E71EAAA" w14:textId="77777777" w:rsidTr="00C77F5C">
        <w:trPr>
          <w:trHeight w:val="181"/>
        </w:trPr>
        <w:tc>
          <w:tcPr>
            <w:tcW w:w="1277" w:type="pct"/>
          </w:tcPr>
          <w:p w14:paraId="1311AF7D" w14:textId="40D02EDA" w:rsidR="00D70A06" w:rsidRPr="00C77F5C" w:rsidRDefault="00D70A06" w:rsidP="00D70A06">
            <w:pPr>
              <w:rPr>
                <w:sz w:val="18"/>
                <w:szCs w:val="18"/>
              </w:rPr>
            </w:pPr>
            <w:r w:rsidRPr="00C77F5C">
              <w:rPr>
                <w:sz w:val="18"/>
                <w:szCs w:val="18"/>
              </w:rPr>
              <w:t>Fife</w:t>
            </w:r>
          </w:p>
        </w:tc>
        <w:tc>
          <w:tcPr>
            <w:tcW w:w="1191" w:type="pct"/>
          </w:tcPr>
          <w:p w14:paraId="30D7FDE3" w14:textId="17F96BFE" w:rsidR="00D70A06" w:rsidRPr="00C77F5C" w:rsidRDefault="00D70A06" w:rsidP="00D70A06">
            <w:pPr>
              <w:rPr>
                <w:sz w:val="18"/>
                <w:szCs w:val="18"/>
              </w:rPr>
            </w:pPr>
            <w:r w:rsidRPr="00C77F5C">
              <w:rPr>
                <w:sz w:val="18"/>
                <w:szCs w:val="18"/>
              </w:rPr>
              <w:t>2</w:t>
            </w:r>
          </w:p>
        </w:tc>
        <w:tc>
          <w:tcPr>
            <w:tcW w:w="1306" w:type="pct"/>
          </w:tcPr>
          <w:p w14:paraId="2886197D" w14:textId="4268281F" w:rsidR="00D70A06" w:rsidRPr="00C77F5C" w:rsidRDefault="00D70A06" w:rsidP="00D70A06">
            <w:pPr>
              <w:rPr>
                <w:sz w:val="18"/>
                <w:szCs w:val="18"/>
              </w:rPr>
            </w:pPr>
            <w:r w:rsidRPr="00C77F5C">
              <w:rPr>
                <w:sz w:val="18"/>
                <w:szCs w:val="18"/>
              </w:rPr>
              <w:t xml:space="preserve">£13,670.00 </w:t>
            </w:r>
          </w:p>
        </w:tc>
        <w:tc>
          <w:tcPr>
            <w:tcW w:w="1226" w:type="pct"/>
          </w:tcPr>
          <w:p w14:paraId="3B8CAA66" w14:textId="73317F17" w:rsidR="00D70A06" w:rsidRPr="00C77F5C" w:rsidRDefault="00D70A06" w:rsidP="00D70A06">
            <w:pPr>
              <w:rPr>
                <w:sz w:val="18"/>
                <w:szCs w:val="18"/>
              </w:rPr>
            </w:pPr>
            <w:r w:rsidRPr="00C77F5C">
              <w:rPr>
                <w:sz w:val="18"/>
                <w:szCs w:val="18"/>
              </w:rPr>
              <w:t xml:space="preserve"> £6,835.00 </w:t>
            </w:r>
          </w:p>
        </w:tc>
      </w:tr>
      <w:tr w:rsidR="00D70A06" w:rsidRPr="00C77F5C" w14:paraId="3221A245" w14:textId="77777777" w:rsidTr="00C77F5C">
        <w:trPr>
          <w:trHeight w:val="181"/>
        </w:trPr>
        <w:tc>
          <w:tcPr>
            <w:tcW w:w="1277" w:type="pct"/>
          </w:tcPr>
          <w:p w14:paraId="53E91811" w14:textId="235AFE78" w:rsidR="00D70A06" w:rsidRPr="00C77F5C" w:rsidRDefault="00D70A06" w:rsidP="00D70A06">
            <w:pPr>
              <w:rPr>
                <w:sz w:val="18"/>
                <w:szCs w:val="18"/>
              </w:rPr>
            </w:pPr>
            <w:r w:rsidRPr="00C77F5C">
              <w:rPr>
                <w:sz w:val="18"/>
                <w:szCs w:val="18"/>
              </w:rPr>
              <w:t>Glasgow North East</w:t>
            </w:r>
          </w:p>
        </w:tc>
        <w:tc>
          <w:tcPr>
            <w:tcW w:w="1191" w:type="pct"/>
          </w:tcPr>
          <w:p w14:paraId="1C86169E" w14:textId="56B0A359" w:rsidR="00D70A06" w:rsidRPr="00C77F5C" w:rsidRDefault="00D70A06" w:rsidP="00D70A06">
            <w:pPr>
              <w:rPr>
                <w:sz w:val="18"/>
                <w:szCs w:val="18"/>
              </w:rPr>
            </w:pPr>
            <w:r w:rsidRPr="00C77F5C">
              <w:rPr>
                <w:sz w:val="18"/>
                <w:szCs w:val="18"/>
              </w:rPr>
              <w:t>7</w:t>
            </w:r>
          </w:p>
        </w:tc>
        <w:tc>
          <w:tcPr>
            <w:tcW w:w="1306" w:type="pct"/>
          </w:tcPr>
          <w:p w14:paraId="304D28CE" w14:textId="0CB5262C" w:rsidR="00D70A06" w:rsidRPr="00C77F5C" w:rsidRDefault="00D70A06" w:rsidP="00D70A06">
            <w:pPr>
              <w:rPr>
                <w:sz w:val="18"/>
                <w:szCs w:val="18"/>
              </w:rPr>
            </w:pPr>
            <w:r w:rsidRPr="00C77F5C">
              <w:rPr>
                <w:sz w:val="18"/>
                <w:szCs w:val="18"/>
              </w:rPr>
              <w:t xml:space="preserve">£50,511.73 </w:t>
            </w:r>
          </w:p>
        </w:tc>
        <w:tc>
          <w:tcPr>
            <w:tcW w:w="1226" w:type="pct"/>
          </w:tcPr>
          <w:p w14:paraId="1B233E81" w14:textId="4CE59688" w:rsidR="00D70A06" w:rsidRPr="00C77F5C" w:rsidRDefault="00D70A06" w:rsidP="00D70A06">
            <w:pPr>
              <w:rPr>
                <w:sz w:val="18"/>
                <w:szCs w:val="18"/>
              </w:rPr>
            </w:pPr>
            <w:r w:rsidRPr="00C77F5C">
              <w:rPr>
                <w:sz w:val="18"/>
                <w:szCs w:val="18"/>
              </w:rPr>
              <w:t xml:space="preserve"> £7,215.96 </w:t>
            </w:r>
          </w:p>
        </w:tc>
      </w:tr>
      <w:tr w:rsidR="00D70A06" w:rsidRPr="00C77F5C" w14:paraId="71000191" w14:textId="77777777" w:rsidTr="00C77F5C">
        <w:trPr>
          <w:trHeight w:val="181"/>
        </w:trPr>
        <w:tc>
          <w:tcPr>
            <w:tcW w:w="1277" w:type="pct"/>
          </w:tcPr>
          <w:p w14:paraId="0F7E4D08" w14:textId="797373AD" w:rsidR="00D70A06" w:rsidRPr="00C77F5C" w:rsidRDefault="00D70A06" w:rsidP="00D70A06">
            <w:pPr>
              <w:rPr>
                <w:sz w:val="18"/>
                <w:szCs w:val="18"/>
              </w:rPr>
            </w:pPr>
            <w:r w:rsidRPr="00C77F5C">
              <w:rPr>
                <w:sz w:val="18"/>
                <w:szCs w:val="18"/>
              </w:rPr>
              <w:t>Glasgow North West</w:t>
            </w:r>
          </w:p>
        </w:tc>
        <w:tc>
          <w:tcPr>
            <w:tcW w:w="1191" w:type="pct"/>
          </w:tcPr>
          <w:p w14:paraId="5BED9A03" w14:textId="51777063" w:rsidR="00D70A06" w:rsidRPr="00C77F5C" w:rsidRDefault="00D70A06" w:rsidP="00D70A06">
            <w:pPr>
              <w:rPr>
                <w:sz w:val="18"/>
                <w:szCs w:val="18"/>
              </w:rPr>
            </w:pPr>
            <w:r w:rsidRPr="00C77F5C">
              <w:rPr>
                <w:sz w:val="18"/>
                <w:szCs w:val="18"/>
              </w:rPr>
              <w:t>1</w:t>
            </w:r>
          </w:p>
        </w:tc>
        <w:tc>
          <w:tcPr>
            <w:tcW w:w="1306" w:type="pct"/>
          </w:tcPr>
          <w:p w14:paraId="7B5DE466" w14:textId="2F9E0333" w:rsidR="00D70A06" w:rsidRPr="00C77F5C" w:rsidRDefault="00D70A06" w:rsidP="00D70A06">
            <w:pPr>
              <w:rPr>
                <w:sz w:val="18"/>
                <w:szCs w:val="18"/>
              </w:rPr>
            </w:pPr>
            <w:r w:rsidRPr="00C77F5C">
              <w:rPr>
                <w:sz w:val="18"/>
                <w:szCs w:val="18"/>
              </w:rPr>
              <w:t xml:space="preserve">£9,550.00 </w:t>
            </w:r>
          </w:p>
        </w:tc>
        <w:tc>
          <w:tcPr>
            <w:tcW w:w="1226" w:type="pct"/>
          </w:tcPr>
          <w:p w14:paraId="5C101B9B" w14:textId="1ECCBEF1" w:rsidR="00D70A06" w:rsidRPr="00C77F5C" w:rsidRDefault="00D70A06" w:rsidP="00D70A06">
            <w:pPr>
              <w:rPr>
                <w:sz w:val="18"/>
                <w:szCs w:val="18"/>
              </w:rPr>
            </w:pPr>
            <w:r w:rsidRPr="00C77F5C">
              <w:rPr>
                <w:sz w:val="18"/>
                <w:szCs w:val="18"/>
              </w:rPr>
              <w:t xml:space="preserve"> £9,550.00 </w:t>
            </w:r>
          </w:p>
        </w:tc>
      </w:tr>
      <w:tr w:rsidR="00D70A06" w:rsidRPr="00C77F5C" w14:paraId="49E2C84D" w14:textId="77777777" w:rsidTr="00C77F5C">
        <w:trPr>
          <w:trHeight w:val="15"/>
        </w:trPr>
        <w:tc>
          <w:tcPr>
            <w:tcW w:w="1277" w:type="pct"/>
          </w:tcPr>
          <w:p w14:paraId="60769A88" w14:textId="230CF28F" w:rsidR="00D70A06" w:rsidRPr="00C77F5C" w:rsidRDefault="00D70A06" w:rsidP="00D70A06">
            <w:pPr>
              <w:rPr>
                <w:sz w:val="18"/>
                <w:szCs w:val="18"/>
              </w:rPr>
            </w:pPr>
            <w:r w:rsidRPr="00C77F5C">
              <w:rPr>
                <w:sz w:val="18"/>
                <w:szCs w:val="18"/>
              </w:rPr>
              <w:t>Glasgow South</w:t>
            </w:r>
          </w:p>
        </w:tc>
        <w:tc>
          <w:tcPr>
            <w:tcW w:w="1191" w:type="pct"/>
          </w:tcPr>
          <w:p w14:paraId="0A183B52" w14:textId="6E1F64BF" w:rsidR="00D70A06" w:rsidRPr="00C77F5C" w:rsidRDefault="00D70A06" w:rsidP="00D70A06">
            <w:pPr>
              <w:rPr>
                <w:sz w:val="18"/>
                <w:szCs w:val="18"/>
              </w:rPr>
            </w:pPr>
            <w:r w:rsidRPr="00C77F5C">
              <w:rPr>
                <w:sz w:val="18"/>
                <w:szCs w:val="18"/>
              </w:rPr>
              <w:t>1</w:t>
            </w:r>
          </w:p>
        </w:tc>
        <w:tc>
          <w:tcPr>
            <w:tcW w:w="1306" w:type="pct"/>
          </w:tcPr>
          <w:p w14:paraId="41134333" w14:textId="0F780303" w:rsidR="00D70A06" w:rsidRPr="00C77F5C" w:rsidRDefault="00D70A06" w:rsidP="00D70A06">
            <w:pPr>
              <w:rPr>
                <w:sz w:val="18"/>
                <w:szCs w:val="18"/>
              </w:rPr>
            </w:pPr>
            <w:r w:rsidRPr="00C77F5C">
              <w:rPr>
                <w:sz w:val="18"/>
                <w:szCs w:val="18"/>
              </w:rPr>
              <w:t xml:space="preserve">£9,174.00 </w:t>
            </w:r>
          </w:p>
        </w:tc>
        <w:tc>
          <w:tcPr>
            <w:tcW w:w="1226" w:type="pct"/>
          </w:tcPr>
          <w:p w14:paraId="1B05D5AB" w14:textId="2FC5EDBB" w:rsidR="00D70A06" w:rsidRPr="00C77F5C" w:rsidRDefault="00D70A06" w:rsidP="00D70A06">
            <w:pPr>
              <w:rPr>
                <w:sz w:val="18"/>
                <w:szCs w:val="18"/>
              </w:rPr>
            </w:pPr>
            <w:r w:rsidRPr="00C77F5C">
              <w:rPr>
                <w:sz w:val="18"/>
                <w:szCs w:val="18"/>
              </w:rPr>
              <w:t xml:space="preserve"> £9,174.00 </w:t>
            </w:r>
          </w:p>
        </w:tc>
      </w:tr>
      <w:tr w:rsidR="00D70A06" w:rsidRPr="00C77F5C" w14:paraId="49DEDBBC" w14:textId="77777777" w:rsidTr="00C77F5C">
        <w:trPr>
          <w:trHeight w:val="181"/>
        </w:trPr>
        <w:tc>
          <w:tcPr>
            <w:tcW w:w="1277" w:type="pct"/>
          </w:tcPr>
          <w:p w14:paraId="2FF090A8" w14:textId="2C64E1EE" w:rsidR="00D70A06" w:rsidRPr="00C77F5C" w:rsidRDefault="00D70A06" w:rsidP="00D70A06">
            <w:pPr>
              <w:rPr>
                <w:sz w:val="18"/>
                <w:szCs w:val="18"/>
              </w:rPr>
            </w:pPr>
            <w:r w:rsidRPr="00C77F5C">
              <w:rPr>
                <w:sz w:val="18"/>
                <w:szCs w:val="18"/>
              </w:rPr>
              <w:t>Highland</w:t>
            </w:r>
          </w:p>
        </w:tc>
        <w:tc>
          <w:tcPr>
            <w:tcW w:w="1191" w:type="pct"/>
          </w:tcPr>
          <w:p w14:paraId="6AAAAC02" w14:textId="4568EAF9" w:rsidR="00D70A06" w:rsidRPr="00C77F5C" w:rsidRDefault="00D70A06" w:rsidP="00D70A06">
            <w:pPr>
              <w:rPr>
                <w:sz w:val="18"/>
                <w:szCs w:val="18"/>
              </w:rPr>
            </w:pPr>
            <w:r w:rsidRPr="00C77F5C">
              <w:rPr>
                <w:sz w:val="18"/>
                <w:szCs w:val="18"/>
              </w:rPr>
              <w:t>2</w:t>
            </w:r>
          </w:p>
        </w:tc>
        <w:tc>
          <w:tcPr>
            <w:tcW w:w="1306" w:type="pct"/>
          </w:tcPr>
          <w:p w14:paraId="3AEA3F0B" w14:textId="2051515A" w:rsidR="00D70A06" w:rsidRPr="00C77F5C" w:rsidRDefault="00D70A06" w:rsidP="00D70A06">
            <w:pPr>
              <w:rPr>
                <w:sz w:val="18"/>
                <w:szCs w:val="18"/>
              </w:rPr>
            </w:pPr>
            <w:r w:rsidRPr="00C77F5C">
              <w:rPr>
                <w:sz w:val="18"/>
                <w:szCs w:val="18"/>
              </w:rPr>
              <w:t xml:space="preserve">£11,153.00 </w:t>
            </w:r>
          </w:p>
        </w:tc>
        <w:tc>
          <w:tcPr>
            <w:tcW w:w="1226" w:type="pct"/>
          </w:tcPr>
          <w:p w14:paraId="478163CF" w14:textId="573DF207" w:rsidR="00D70A06" w:rsidRPr="00C77F5C" w:rsidRDefault="00D70A06" w:rsidP="00D70A06">
            <w:pPr>
              <w:rPr>
                <w:sz w:val="18"/>
                <w:szCs w:val="18"/>
              </w:rPr>
            </w:pPr>
            <w:r w:rsidRPr="00C77F5C">
              <w:rPr>
                <w:sz w:val="18"/>
                <w:szCs w:val="18"/>
              </w:rPr>
              <w:t xml:space="preserve"> £5,576.50 </w:t>
            </w:r>
          </w:p>
        </w:tc>
      </w:tr>
      <w:tr w:rsidR="00D70A06" w:rsidRPr="00C77F5C" w14:paraId="14EC2863" w14:textId="77777777" w:rsidTr="00C77F5C">
        <w:trPr>
          <w:trHeight w:val="181"/>
        </w:trPr>
        <w:tc>
          <w:tcPr>
            <w:tcW w:w="1277" w:type="pct"/>
          </w:tcPr>
          <w:p w14:paraId="455F02E8" w14:textId="627FA5B4" w:rsidR="00D70A06" w:rsidRPr="00C77F5C" w:rsidRDefault="00D70A06" w:rsidP="00D70A06">
            <w:pPr>
              <w:rPr>
                <w:sz w:val="18"/>
                <w:szCs w:val="18"/>
              </w:rPr>
            </w:pPr>
            <w:r w:rsidRPr="00C77F5C">
              <w:rPr>
                <w:sz w:val="18"/>
                <w:szCs w:val="18"/>
              </w:rPr>
              <w:t>Inverclyde</w:t>
            </w:r>
          </w:p>
        </w:tc>
        <w:tc>
          <w:tcPr>
            <w:tcW w:w="1191" w:type="pct"/>
          </w:tcPr>
          <w:p w14:paraId="4FFE0DC3" w14:textId="650B2866" w:rsidR="00D70A06" w:rsidRPr="00C77F5C" w:rsidRDefault="00D70A06" w:rsidP="00D70A06">
            <w:pPr>
              <w:rPr>
                <w:sz w:val="18"/>
                <w:szCs w:val="18"/>
              </w:rPr>
            </w:pPr>
            <w:r w:rsidRPr="00C77F5C">
              <w:rPr>
                <w:sz w:val="18"/>
                <w:szCs w:val="18"/>
              </w:rPr>
              <w:t>1</w:t>
            </w:r>
          </w:p>
        </w:tc>
        <w:tc>
          <w:tcPr>
            <w:tcW w:w="1306" w:type="pct"/>
          </w:tcPr>
          <w:p w14:paraId="68FF5126" w14:textId="1366209E" w:rsidR="00D70A06" w:rsidRPr="00C77F5C" w:rsidRDefault="00D70A06" w:rsidP="00D70A06">
            <w:pPr>
              <w:rPr>
                <w:sz w:val="18"/>
                <w:szCs w:val="18"/>
              </w:rPr>
            </w:pPr>
            <w:r w:rsidRPr="00C77F5C">
              <w:rPr>
                <w:sz w:val="18"/>
                <w:szCs w:val="18"/>
              </w:rPr>
              <w:t xml:space="preserve">£3,285.00 </w:t>
            </w:r>
          </w:p>
        </w:tc>
        <w:tc>
          <w:tcPr>
            <w:tcW w:w="1226" w:type="pct"/>
          </w:tcPr>
          <w:p w14:paraId="25D91AF6" w14:textId="7E7AE13D" w:rsidR="00D70A06" w:rsidRPr="00C77F5C" w:rsidRDefault="00D70A06" w:rsidP="00D70A06">
            <w:pPr>
              <w:rPr>
                <w:sz w:val="18"/>
                <w:szCs w:val="18"/>
              </w:rPr>
            </w:pPr>
            <w:r w:rsidRPr="00C77F5C">
              <w:rPr>
                <w:sz w:val="18"/>
                <w:szCs w:val="18"/>
              </w:rPr>
              <w:t xml:space="preserve"> £3,285.00 </w:t>
            </w:r>
          </w:p>
        </w:tc>
      </w:tr>
      <w:tr w:rsidR="00D70A06" w:rsidRPr="00C77F5C" w14:paraId="4FDA7B99" w14:textId="77777777" w:rsidTr="00C77F5C">
        <w:trPr>
          <w:trHeight w:val="181"/>
        </w:trPr>
        <w:tc>
          <w:tcPr>
            <w:tcW w:w="1277" w:type="pct"/>
          </w:tcPr>
          <w:p w14:paraId="29ED04E9" w14:textId="14BA05A1" w:rsidR="00D70A06" w:rsidRPr="00C77F5C" w:rsidRDefault="00D70A06" w:rsidP="00D70A06">
            <w:pPr>
              <w:rPr>
                <w:sz w:val="18"/>
                <w:szCs w:val="18"/>
              </w:rPr>
            </w:pPr>
            <w:r w:rsidRPr="00C77F5C">
              <w:rPr>
                <w:sz w:val="18"/>
                <w:szCs w:val="18"/>
              </w:rPr>
              <w:t>North Ayrshire</w:t>
            </w:r>
          </w:p>
        </w:tc>
        <w:tc>
          <w:tcPr>
            <w:tcW w:w="1191" w:type="pct"/>
          </w:tcPr>
          <w:p w14:paraId="211DD90B" w14:textId="7819B801" w:rsidR="00D70A06" w:rsidRPr="00C77F5C" w:rsidRDefault="00D70A06" w:rsidP="00D70A06">
            <w:pPr>
              <w:rPr>
                <w:sz w:val="18"/>
                <w:szCs w:val="18"/>
              </w:rPr>
            </w:pPr>
            <w:r w:rsidRPr="00C77F5C">
              <w:rPr>
                <w:sz w:val="18"/>
                <w:szCs w:val="18"/>
              </w:rPr>
              <w:t>1</w:t>
            </w:r>
          </w:p>
        </w:tc>
        <w:tc>
          <w:tcPr>
            <w:tcW w:w="1306" w:type="pct"/>
          </w:tcPr>
          <w:p w14:paraId="04E2271B" w14:textId="46B822DA" w:rsidR="00D70A06" w:rsidRPr="00C77F5C" w:rsidRDefault="00D70A06" w:rsidP="00D70A06">
            <w:pPr>
              <w:rPr>
                <w:sz w:val="18"/>
                <w:szCs w:val="18"/>
              </w:rPr>
            </w:pPr>
            <w:r w:rsidRPr="00C77F5C">
              <w:rPr>
                <w:sz w:val="18"/>
                <w:szCs w:val="18"/>
              </w:rPr>
              <w:t xml:space="preserve">£5,898.00 </w:t>
            </w:r>
          </w:p>
        </w:tc>
        <w:tc>
          <w:tcPr>
            <w:tcW w:w="1226" w:type="pct"/>
          </w:tcPr>
          <w:p w14:paraId="7302DCB8" w14:textId="4B1FD42D" w:rsidR="00D70A06" w:rsidRPr="00C77F5C" w:rsidRDefault="00D70A06" w:rsidP="00D70A06">
            <w:pPr>
              <w:rPr>
                <w:sz w:val="18"/>
                <w:szCs w:val="18"/>
              </w:rPr>
            </w:pPr>
            <w:r w:rsidRPr="00C77F5C">
              <w:rPr>
                <w:sz w:val="18"/>
                <w:szCs w:val="18"/>
              </w:rPr>
              <w:t xml:space="preserve"> £5,898.00 </w:t>
            </w:r>
          </w:p>
        </w:tc>
      </w:tr>
      <w:tr w:rsidR="00D70A06" w:rsidRPr="00C77F5C" w14:paraId="4454FB15" w14:textId="77777777" w:rsidTr="00C77F5C">
        <w:trPr>
          <w:trHeight w:val="181"/>
        </w:trPr>
        <w:tc>
          <w:tcPr>
            <w:tcW w:w="1277" w:type="pct"/>
          </w:tcPr>
          <w:p w14:paraId="14B978BA" w14:textId="45168FBD" w:rsidR="00D70A06" w:rsidRPr="00C77F5C" w:rsidRDefault="00D70A06" w:rsidP="00D70A06">
            <w:pPr>
              <w:rPr>
                <w:sz w:val="18"/>
                <w:szCs w:val="18"/>
              </w:rPr>
            </w:pPr>
            <w:r w:rsidRPr="00C77F5C">
              <w:rPr>
                <w:sz w:val="18"/>
                <w:szCs w:val="18"/>
              </w:rPr>
              <w:t>North Lanarkshire</w:t>
            </w:r>
          </w:p>
        </w:tc>
        <w:tc>
          <w:tcPr>
            <w:tcW w:w="1191" w:type="pct"/>
          </w:tcPr>
          <w:p w14:paraId="59D0B687" w14:textId="0DB4EE3C" w:rsidR="00D70A06" w:rsidRPr="00C77F5C" w:rsidRDefault="00D70A06" w:rsidP="00D70A06">
            <w:pPr>
              <w:rPr>
                <w:sz w:val="18"/>
                <w:szCs w:val="18"/>
              </w:rPr>
            </w:pPr>
            <w:r w:rsidRPr="00C77F5C">
              <w:rPr>
                <w:sz w:val="18"/>
                <w:szCs w:val="18"/>
              </w:rPr>
              <w:t>1</w:t>
            </w:r>
          </w:p>
        </w:tc>
        <w:tc>
          <w:tcPr>
            <w:tcW w:w="1306" w:type="pct"/>
          </w:tcPr>
          <w:p w14:paraId="2A5934CA" w14:textId="0A938E8F" w:rsidR="00D70A06" w:rsidRPr="00C77F5C" w:rsidRDefault="00D70A06" w:rsidP="00D70A06">
            <w:pPr>
              <w:rPr>
                <w:sz w:val="18"/>
                <w:szCs w:val="18"/>
              </w:rPr>
            </w:pPr>
            <w:r w:rsidRPr="00C77F5C">
              <w:rPr>
                <w:sz w:val="18"/>
                <w:szCs w:val="18"/>
              </w:rPr>
              <w:t xml:space="preserve">£5,900.00 </w:t>
            </w:r>
          </w:p>
        </w:tc>
        <w:tc>
          <w:tcPr>
            <w:tcW w:w="1226" w:type="pct"/>
          </w:tcPr>
          <w:p w14:paraId="3B4AEC38" w14:textId="1F1B954C" w:rsidR="00D70A06" w:rsidRPr="00C77F5C" w:rsidRDefault="00D70A06" w:rsidP="00D70A06">
            <w:pPr>
              <w:rPr>
                <w:sz w:val="18"/>
                <w:szCs w:val="18"/>
              </w:rPr>
            </w:pPr>
            <w:r w:rsidRPr="00C77F5C">
              <w:rPr>
                <w:sz w:val="18"/>
                <w:szCs w:val="18"/>
              </w:rPr>
              <w:t xml:space="preserve"> £5,900.00 </w:t>
            </w:r>
          </w:p>
        </w:tc>
      </w:tr>
      <w:tr w:rsidR="00D70A06" w:rsidRPr="00C77F5C" w14:paraId="51594F56" w14:textId="77777777" w:rsidTr="00C77F5C">
        <w:trPr>
          <w:trHeight w:val="181"/>
        </w:trPr>
        <w:tc>
          <w:tcPr>
            <w:tcW w:w="1277" w:type="pct"/>
          </w:tcPr>
          <w:p w14:paraId="2F479080" w14:textId="2E59127D" w:rsidR="00D70A06" w:rsidRPr="00C77F5C" w:rsidRDefault="00D70A06" w:rsidP="00D70A06">
            <w:pPr>
              <w:rPr>
                <w:sz w:val="18"/>
                <w:szCs w:val="18"/>
              </w:rPr>
            </w:pPr>
            <w:r w:rsidRPr="00C77F5C">
              <w:rPr>
                <w:sz w:val="18"/>
                <w:szCs w:val="18"/>
              </w:rPr>
              <w:t>Orkney Islands</w:t>
            </w:r>
          </w:p>
        </w:tc>
        <w:tc>
          <w:tcPr>
            <w:tcW w:w="1191" w:type="pct"/>
          </w:tcPr>
          <w:p w14:paraId="74DD0DC5" w14:textId="71242E9D" w:rsidR="00D70A06" w:rsidRPr="00C77F5C" w:rsidRDefault="00D70A06" w:rsidP="00D70A06">
            <w:pPr>
              <w:rPr>
                <w:sz w:val="18"/>
                <w:szCs w:val="18"/>
              </w:rPr>
            </w:pPr>
            <w:r w:rsidRPr="00C77F5C">
              <w:rPr>
                <w:sz w:val="18"/>
                <w:szCs w:val="18"/>
              </w:rPr>
              <w:t>1</w:t>
            </w:r>
          </w:p>
        </w:tc>
        <w:tc>
          <w:tcPr>
            <w:tcW w:w="1306" w:type="pct"/>
          </w:tcPr>
          <w:p w14:paraId="677F3964" w14:textId="7A78518A" w:rsidR="00D70A06" w:rsidRPr="00C77F5C" w:rsidRDefault="00D70A06" w:rsidP="00D70A06">
            <w:pPr>
              <w:rPr>
                <w:sz w:val="18"/>
                <w:szCs w:val="18"/>
              </w:rPr>
            </w:pPr>
            <w:r w:rsidRPr="00C77F5C">
              <w:rPr>
                <w:sz w:val="18"/>
                <w:szCs w:val="18"/>
              </w:rPr>
              <w:t xml:space="preserve">£4,248.70 </w:t>
            </w:r>
          </w:p>
        </w:tc>
        <w:tc>
          <w:tcPr>
            <w:tcW w:w="1226" w:type="pct"/>
          </w:tcPr>
          <w:p w14:paraId="16C9A8B1" w14:textId="003B3B03" w:rsidR="00D70A06" w:rsidRPr="00C77F5C" w:rsidRDefault="00D70A06" w:rsidP="00D70A06">
            <w:pPr>
              <w:rPr>
                <w:sz w:val="18"/>
                <w:szCs w:val="18"/>
              </w:rPr>
            </w:pPr>
            <w:r w:rsidRPr="00C77F5C">
              <w:rPr>
                <w:sz w:val="18"/>
                <w:szCs w:val="18"/>
              </w:rPr>
              <w:t xml:space="preserve"> £4,248.70 </w:t>
            </w:r>
          </w:p>
        </w:tc>
      </w:tr>
      <w:tr w:rsidR="00D70A06" w:rsidRPr="00C77F5C" w14:paraId="66243ECF" w14:textId="77777777" w:rsidTr="00C77F5C">
        <w:trPr>
          <w:trHeight w:val="181"/>
        </w:trPr>
        <w:tc>
          <w:tcPr>
            <w:tcW w:w="1277" w:type="pct"/>
          </w:tcPr>
          <w:p w14:paraId="67C258F3" w14:textId="3AA74342" w:rsidR="00D70A06" w:rsidRPr="00C77F5C" w:rsidRDefault="00D70A06" w:rsidP="00D70A06">
            <w:pPr>
              <w:rPr>
                <w:sz w:val="18"/>
                <w:szCs w:val="18"/>
              </w:rPr>
            </w:pPr>
            <w:r w:rsidRPr="00C77F5C">
              <w:rPr>
                <w:sz w:val="18"/>
                <w:szCs w:val="18"/>
              </w:rPr>
              <w:t>Renfrewshire</w:t>
            </w:r>
          </w:p>
        </w:tc>
        <w:tc>
          <w:tcPr>
            <w:tcW w:w="1191" w:type="pct"/>
          </w:tcPr>
          <w:p w14:paraId="69BDFE90" w14:textId="141D2D6E" w:rsidR="00D70A06" w:rsidRPr="00C77F5C" w:rsidRDefault="00D70A06" w:rsidP="00D70A06">
            <w:pPr>
              <w:rPr>
                <w:sz w:val="18"/>
                <w:szCs w:val="18"/>
              </w:rPr>
            </w:pPr>
            <w:r w:rsidRPr="00C77F5C">
              <w:rPr>
                <w:sz w:val="18"/>
                <w:szCs w:val="18"/>
              </w:rPr>
              <w:t>3</w:t>
            </w:r>
          </w:p>
        </w:tc>
        <w:tc>
          <w:tcPr>
            <w:tcW w:w="1306" w:type="pct"/>
          </w:tcPr>
          <w:p w14:paraId="25DB4C4E" w14:textId="7356F33A" w:rsidR="00D70A06" w:rsidRPr="00C77F5C" w:rsidRDefault="00D70A06" w:rsidP="00D70A06">
            <w:pPr>
              <w:rPr>
                <w:sz w:val="18"/>
                <w:szCs w:val="18"/>
              </w:rPr>
            </w:pPr>
            <w:r w:rsidRPr="00C77F5C">
              <w:rPr>
                <w:sz w:val="18"/>
                <w:szCs w:val="18"/>
              </w:rPr>
              <w:t xml:space="preserve">£22,758.50 </w:t>
            </w:r>
          </w:p>
        </w:tc>
        <w:tc>
          <w:tcPr>
            <w:tcW w:w="1226" w:type="pct"/>
          </w:tcPr>
          <w:p w14:paraId="690B00A2" w14:textId="7B53909E" w:rsidR="00D70A06" w:rsidRPr="00C77F5C" w:rsidRDefault="00D70A06" w:rsidP="00D70A06">
            <w:pPr>
              <w:rPr>
                <w:sz w:val="18"/>
                <w:szCs w:val="18"/>
              </w:rPr>
            </w:pPr>
            <w:r w:rsidRPr="00C77F5C">
              <w:rPr>
                <w:sz w:val="18"/>
                <w:szCs w:val="18"/>
              </w:rPr>
              <w:t xml:space="preserve"> £7,586.17 </w:t>
            </w:r>
          </w:p>
        </w:tc>
      </w:tr>
      <w:tr w:rsidR="00D70A06" w:rsidRPr="00C77F5C" w14:paraId="5F644FC6" w14:textId="77777777" w:rsidTr="00C77F5C">
        <w:trPr>
          <w:trHeight w:val="181"/>
        </w:trPr>
        <w:tc>
          <w:tcPr>
            <w:tcW w:w="1277" w:type="pct"/>
          </w:tcPr>
          <w:p w14:paraId="7C2C6889" w14:textId="5813D56F" w:rsidR="00D70A06" w:rsidRPr="00C77F5C" w:rsidRDefault="00D70A06" w:rsidP="00D70A06">
            <w:pPr>
              <w:rPr>
                <w:sz w:val="18"/>
                <w:szCs w:val="18"/>
              </w:rPr>
            </w:pPr>
            <w:r w:rsidRPr="00C77F5C">
              <w:rPr>
                <w:sz w:val="18"/>
                <w:szCs w:val="18"/>
              </w:rPr>
              <w:t>Scottish Borders</w:t>
            </w:r>
          </w:p>
        </w:tc>
        <w:tc>
          <w:tcPr>
            <w:tcW w:w="1191" w:type="pct"/>
          </w:tcPr>
          <w:p w14:paraId="4F23250B" w14:textId="3E649A1F" w:rsidR="00D70A06" w:rsidRPr="00C77F5C" w:rsidRDefault="00D70A06" w:rsidP="00D70A06">
            <w:pPr>
              <w:rPr>
                <w:sz w:val="18"/>
                <w:szCs w:val="18"/>
              </w:rPr>
            </w:pPr>
            <w:r w:rsidRPr="00C77F5C">
              <w:rPr>
                <w:sz w:val="18"/>
                <w:szCs w:val="18"/>
              </w:rPr>
              <w:t>2</w:t>
            </w:r>
          </w:p>
        </w:tc>
        <w:tc>
          <w:tcPr>
            <w:tcW w:w="1306" w:type="pct"/>
          </w:tcPr>
          <w:p w14:paraId="4EB34555" w14:textId="3DDC7FE4" w:rsidR="00D70A06" w:rsidRPr="00C77F5C" w:rsidRDefault="00D70A06" w:rsidP="00D70A06">
            <w:pPr>
              <w:rPr>
                <w:sz w:val="18"/>
                <w:szCs w:val="18"/>
              </w:rPr>
            </w:pPr>
            <w:r w:rsidRPr="00C77F5C">
              <w:rPr>
                <w:sz w:val="18"/>
                <w:szCs w:val="18"/>
              </w:rPr>
              <w:t xml:space="preserve">£17,418.00 </w:t>
            </w:r>
          </w:p>
        </w:tc>
        <w:tc>
          <w:tcPr>
            <w:tcW w:w="1226" w:type="pct"/>
          </w:tcPr>
          <w:p w14:paraId="4E77A791" w14:textId="4FDFF5E2" w:rsidR="00D70A06" w:rsidRPr="00C77F5C" w:rsidRDefault="00D70A06" w:rsidP="00D70A06">
            <w:pPr>
              <w:rPr>
                <w:sz w:val="18"/>
                <w:szCs w:val="18"/>
              </w:rPr>
            </w:pPr>
            <w:r w:rsidRPr="00C77F5C">
              <w:rPr>
                <w:sz w:val="18"/>
                <w:szCs w:val="18"/>
              </w:rPr>
              <w:t xml:space="preserve"> £8,709.00 </w:t>
            </w:r>
          </w:p>
        </w:tc>
      </w:tr>
      <w:tr w:rsidR="00D70A06" w:rsidRPr="00C77F5C" w14:paraId="39DEC10B" w14:textId="77777777" w:rsidTr="00C77F5C">
        <w:trPr>
          <w:trHeight w:val="181"/>
        </w:trPr>
        <w:tc>
          <w:tcPr>
            <w:tcW w:w="1277" w:type="pct"/>
          </w:tcPr>
          <w:p w14:paraId="07A067C2" w14:textId="5A8C193B" w:rsidR="00D70A06" w:rsidRPr="00C77F5C" w:rsidRDefault="00D70A06" w:rsidP="00D70A06">
            <w:pPr>
              <w:rPr>
                <w:sz w:val="18"/>
                <w:szCs w:val="18"/>
              </w:rPr>
            </w:pPr>
            <w:r w:rsidRPr="00C77F5C">
              <w:rPr>
                <w:sz w:val="18"/>
                <w:szCs w:val="18"/>
              </w:rPr>
              <w:t>South Ayrshire</w:t>
            </w:r>
          </w:p>
        </w:tc>
        <w:tc>
          <w:tcPr>
            <w:tcW w:w="1191" w:type="pct"/>
          </w:tcPr>
          <w:p w14:paraId="4BE00C63" w14:textId="347963D7" w:rsidR="00D70A06" w:rsidRPr="00C77F5C" w:rsidRDefault="00D70A06" w:rsidP="00D70A06">
            <w:pPr>
              <w:rPr>
                <w:sz w:val="18"/>
                <w:szCs w:val="18"/>
              </w:rPr>
            </w:pPr>
            <w:r w:rsidRPr="00C77F5C">
              <w:rPr>
                <w:sz w:val="18"/>
                <w:szCs w:val="18"/>
              </w:rPr>
              <w:t>3</w:t>
            </w:r>
          </w:p>
        </w:tc>
        <w:tc>
          <w:tcPr>
            <w:tcW w:w="1306" w:type="pct"/>
          </w:tcPr>
          <w:p w14:paraId="2FB92DCE" w14:textId="1B5CA2D9" w:rsidR="00D70A06" w:rsidRPr="00C77F5C" w:rsidRDefault="00D70A06" w:rsidP="00D70A06">
            <w:pPr>
              <w:rPr>
                <w:sz w:val="18"/>
                <w:szCs w:val="18"/>
              </w:rPr>
            </w:pPr>
            <w:r w:rsidRPr="00C77F5C">
              <w:rPr>
                <w:sz w:val="18"/>
                <w:szCs w:val="18"/>
              </w:rPr>
              <w:t xml:space="preserve">£24,900.00 </w:t>
            </w:r>
          </w:p>
        </w:tc>
        <w:tc>
          <w:tcPr>
            <w:tcW w:w="1226" w:type="pct"/>
          </w:tcPr>
          <w:p w14:paraId="6E1F17BE" w14:textId="5DE8CA53" w:rsidR="00D70A06" w:rsidRPr="00C77F5C" w:rsidRDefault="00D70A06" w:rsidP="00D70A06">
            <w:pPr>
              <w:rPr>
                <w:sz w:val="18"/>
                <w:szCs w:val="18"/>
              </w:rPr>
            </w:pPr>
            <w:r w:rsidRPr="00C77F5C">
              <w:rPr>
                <w:sz w:val="18"/>
                <w:szCs w:val="18"/>
              </w:rPr>
              <w:t xml:space="preserve"> £8,300.00 </w:t>
            </w:r>
          </w:p>
        </w:tc>
      </w:tr>
      <w:tr w:rsidR="00D70A06" w:rsidRPr="00C77F5C" w14:paraId="3269A035" w14:textId="77777777" w:rsidTr="00C77F5C">
        <w:trPr>
          <w:trHeight w:val="181"/>
        </w:trPr>
        <w:tc>
          <w:tcPr>
            <w:tcW w:w="1277" w:type="pct"/>
          </w:tcPr>
          <w:p w14:paraId="7D57D9DC" w14:textId="57B05D3B" w:rsidR="00D70A06" w:rsidRPr="00C77F5C" w:rsidRDefault="00D70A06" w:rsidP="00D70A06">
            <w:pPr>
              <w:rPr>
                <w:sz w:val="18"/>
                <w:szCs w:val="18"/>
              </w:rPr>
            </w:pPr>
            <w:r w:rsidRPr="00C77F5C">
              <w:rPr>
                <w:sz w:val="18"/>
                <w:szCs w:val="18"/>
              </w:rPr>
              <w:t>South Lanarkshire</w:t>
            </w:r>
          </w:p>
        </w:tc>
        <w:tc>
          <w:tcPr>
            <w:tcW w:w="1191" w:type="pct"/>
          </w:tcPr>
          <w:p w14:paraId="076453CA" w14:textId="2FF7FB02" w:rsidR="00D70A06" w:rsidRPr="00C77F5C" w:rsidRDefault="00D70A06" w:rsidP="00D70A06">
            <w:pPr>
              <w:rPr>
                <w:sz w:val="18"/>
                <w:szCs w:val="18"/>
              </w:rPr>
            </w:pPr>
            <w:r w:rsidRPr="00C77F5C">
              <w:rPr>
                <w:sz w:val="18"/>
                <w:szCs w:val="18"/>
              </w:rPr>
              <w:t>2</w:t>
            </w:r>
          </w:p>
        </w:tc>
        <w:tc>
          <w:tcPr>
            <w:tcW w:w="1306" w:type="pct"/>
          </w:tcPr>
          <w:p w14:paraId="2E4DD5E4" w14:textId="266B8F47" w:rsidR="00D70A06" w:rsidRPr="00C77F5C" w:rsidRDefault="00D70A06" w:rsidP="00D70A06">
            <w:pPr>
              <w:rPr>
                <w:sz w:val="18"/>
                <w:szCs w:val="18"/>
              </w:rPr>
            </w:pPr>
            <w:r w:rsidRPr="00C77F5C">
              <w:rPr>
                <w:sz w:val="18"/>
                <w:szCs w:val="18"/>
              </w:rPr>
              <w:t xml:space="preserve">£12,991.00 </w:t>
            </w:r>
          </w:p>
        </w:tc>
        <w:tc>
          <w:tcPr>
            <w:tcW w:w="1226" w:type="pct"/>
          </w:tcPr>
          <w:p w14:paraId="7B13672A" w14:textId="46A6A938" w:rsidR="00D70A06" w:rsidRPr="00C77F5C" w:rsidRDefault="00D70A06" w:rsidP="00D70A06">
            <w:pPr>
              <w:rPr>
                <w:sz w:val="18"/>
                <w:szCs w:val="18"/>
              </w:rPr>
            </w:pPr>
            <w:r w:rsidRPr="00C77F5C">
              <w:rPr>
                <w:sz w:val="18"/>
                <w:szCs w:val="18"/>
              </w:rPr>
              <w:t xml:space="preserve"> £6,495.50 </w:t>
            </w:r>
          </w:p>
        </w:tc>
      </w:tr>
      <w:tr w:rsidR="00D70A06" w:rsidRPr="00C77F5C" w14:paraId="2130C170" w14:textId="77777777" w:rsidTr="00C77F5C">
        <w:trPr>
          <w:trHeight w:val="181"/>
        </w:trPr>
        <w:tc>
          <w:tcPr>
            <w:tcW w:w="1277" w:type="pct"/>
          </w:tcPr>
          <w:p w14:paraId="40CA82EC" w14:textId="1BED7AC4" w:rsidR="00D70A06" w:rsidRPr="00C77F5C" w:rsidRDefault="00D70A06" w:rsidP="00D70A06">
            <w:pPr>
              <w:rPr>
                <w:sz w:val="18"/>
                <w:szCs w:val="18"/>
              </w:rPr>
            </w:pPr>
            <w:r w:rsidRPr="00C77F5C">
              <w:rPr>
                <w:sz w:val="18"/>
                <w:szCs w:val="18"/>
              </w:rPr>
              <w:t>Stirling</w:t>
            </w:r>
          </w:p>
        </w:tc>
        <w:tc>
          <w:tcPr>
            <w:tcW w:w="1191" w:type="pct"/>
          </w:tcPr>
          <w:p w14:paraId="2485BA25" w14:textId="576555A4" w:rsidR="00D70A06" w:rsidRPr="00C77F5C" w:rsidRDefault="00D70A06" w:rsidP="00D70A06">
            <w:pPr>
              <w:rPr>
                <w:sz w:val="18"/>
                <w:szCs w:val="18"/>
              </w:rPr>
            </w:pPr>
            <w:r w:rsidRPr="00C77F5C">
              <w:rPr>
                <w:sz w:val="18"/>
                <w:szCs w:val="18"/>
              </w:rPr>
              <w:t>1</w:t>
            </w:r>
          </w:p>
        </w:tc>
        <w:tc>
          <w:tcPr>
            <w:tcW w:w="1306" w:type="pct"/>
          </w:tcPr>
          <w:p w14:paraId="340D77A5" w14:textId="29545D22" w:rsidR="00D70A06" w:rsidRPr="00C77F5C" w:rsidRDefault="00D70A06" w:rsidP="00D70A06">
            <w:pPr>
              <w:rPr>
                <w:sz w:val="18"/>
                <w:szCs w:val="18"/>
              </w:rPr>
            </w:pPr>
            <w:r w:rsidRPr="00C77F5C">
              <w:rPr>
                <w:sz w:val="18"/>
                <w:szCs w:val="18"/>
              </w:rPr>
              <w:t xml:space="preserve">£6,843.00 </w:t>
            </w:r>
          </w:p>
        </w:tc>
        <w:tc>
          <w:tcPr>
            <w:tcW w:w="1226" w:type="pct"/>
          </w:tcPr>
          <w:p w14:paraId="03B3BB9A" w14:textId="02B6A5BC" w:rsidR="00D70A06" w:rsidRPr="00C77F5C" w:rsidRDefault="00D70A06" w:rsidP="00D70A06">
            <w:pPr>
              <w:rPr>
                <w:sz w:val="18"/>
                <w:szCs w:val="18"/>
              </w:rPr>
            </w:pPr>
            <w:r w:rsidRPr="00C77F5C">
              <w:rPr>
                <w:sz w:val="18"/>
                <w:szCs w:val="18"/>
              </w:rPr>
              <w:t xml:space="preserve"> £6,843.00 </w:t>
            </w:r>
          </w:p>
        </w:tc>
      </w:tr>
      <w:tr w:rsidR="00D70A06" w:rsidRPr="00C77F5C" w14:paraId="373AC3F6" w14:textId="77777777" w:rsidTr="00C77F5C">
        <w:trPr>
          <w:trHeight w:val="181"/>
        </w:trPr>
        <w:tc>
          <w:tcPr>
            <w:tcW w:w="1277" w:type="pct"/>
          </w:tcPr>
          <w:p w14:paraId="445A5C1D" w14:textId="7D09EE53" w:rsidR="00D70A06" w:rsidRPr="00C77F5C" w:rsidRDefault="00D70A06" w:rsidP="00D70A06">
            <w:pPr>
              <w:rPr>
                <w:sz w:val="18"/>
                <w:szCs w:val="18"/>
              </w:rPr>
            </w:pPr>
            <w:r w:rsidRPr="00C77F5C">
              <w:rPr>
                <w:sz w:val="18"/>
                <w:szCs w:val="18"/>
              </w:rPr>
              <w:t>West Dunbartonshire</w:t>
            </w:r>
          </w:p>
        </w:tc>
        <w:tc>
          <w:tcPr>
            <w:tcW w:w="1191" w:type="pct"/>
          </w:tcPr>
          <w:p w14:paraId="79A71188" w14:textId="65934D37" w:rsidR="00D70A06" w:rsidRPr="00C77F5C" w:rsidRDefault="00D70A06" w:rsidP="00D70A06">
            <w:pPr>
              <w:rPr>
                <w:sz w:val="18"/>
                <w:szCs w:val="18"/>
              </w:rPr>
            </w:pPr>
            <w:r w:rsidRPr="00C77F5C">
              <w:rPr>
                <w:sz w:val="18"/>
                <w:szCs w:val="18"/>
              </w:rPr>
              <w:t>1</w:t>
            </w:r>
          </w:p>
        </w:tc>
        <w:tc>
          <w:tcPr>
            <w:tcW w:w="1306" w:type="pct"/>
          </w:tcPr>
          <w:p w14:paraId="598C923C" w14:textId="6E3EC8B7" w:rsidR="00D70A06" w:rsidRPr="00C77F5C" w:rsidRDefault="00D70A06" w:rsidP="00D70A06">
            <w:pPr>
              <w:rPr>
                <w:sz w:val="18"/>
                <w:szCs w:val="18"/>
              </w:rPr>
            </w:pPr>
            <w:r w:rsidRPr="00C77F5C">
              <w:rPr>
                <w:sz w:val="18"/>
                <w:szCs w:val="18"/>
              </w:rPr>
              <w:t xml:space="preserve">£6,806.40 </w:t>
            </w:r>
          </w:p>
        </w:tc>
        <w:tc>
          <w:tcPr>
            <w:tcW w:w="1226" w:type="pct"/>
          </w:tcPr>
          <w:p w14:paraId="00D2EF80" w14:textId="3400CF5A" w:rsidR="00D70A06" w:rsidRPr="00C77F5C" w:rsidRDefault="00D70A06" w:rsidP="00D70A06">
            <w:pPr>
              <w:rPr>
                <w:sz w:val="18"/>
                <w:szCs w:val="18"/>
              </w:rPr>
            </w:pPr>
            <w:r w:rsidRPr="00C77F5C">
              <w:rPr>
                <w:sz w:val="18"/>
                <w:szCs w:val="18"/>
              </w:rPr>
              <w:t xml:space="preserve"> £6,806.40 </w:t>
            </w:r>
          </w:p>
        </w:tc>
      </w:tr>
      <w:tr w:rsidR="009D5033" w:rsidRPr="00C77F5C" w14:paraId="6FFA2116" w14:textId="77777777" w:rsidTr="00C77F5C">
        <w:trPr>
          <w:trHeight w:val="181"/>
        </w:trPr>
        <w:tc>
          <w:tcPr>
            <w:tcW w:w="1277" w:type="pct"/>
          </w:tcPr>
          <w:p w14:paraId="78102FDE" w14:textId="1EC26B95" w:rsidR="009D5033" w:rsidRPr="00C77F5C" w:rsidRDefault="009D5033" w:rsidP="00E16229">
            <w:pPr>
              <w:rPr>
                <w:b/>
                <w:bCs/>
                <w:sz w:val="18"/>
                <w:szCs w:val="18"/>
              </w:rPr>
            </w:pPr>
            <w:r w:rsidRPr="00C77F5C">
              <w:rPr>
                <w:b/>
                <w:bCs/>
                <w:sz w:val="18"/>
                <w:szCs w:val="18"/>
              </w:rPr>
              <w:t>TOTAL</w:t>
            </w:r>
          </w:p>
        </w:tc>
        <w:tc>
          <w:tcPr>
            <w:tcW w:w="1191" w:type="pct"/>
          </w:tcPr>
          <w:p w14:paraId="5B9DFF2A" w14:textId="31435D50" w:rsidR="009D5033" w:rsidRPr="00C77F5C" w:rsidRDefault="00D70A06" w:rsidP="00E16229">
            <w:pPr>
              <w:rPr>
                <w:b/>
                <w:bCs/>
                <w:sz w:val="18"/>
                <w:szCs w:val="18"/>
              </w:rPr>
            </w:pPr>
            <w:r w:rsidRPr="00C77F5C">
              <w:rPr>
                <w:b/>
                <w:bCs/>
                <w:sz w:val="18"/>
                <w:szCs w:val="18"/>
              </w:rPr>
              <w:t>45</w:t>
            </w:r>
          </w:p>
        </w:tc>
        <w:tc>
          <w:tcPr>
            <w:tcW w:w="1306" w:type="pct"/>
          </w:tcPr>
          <w:p w14:paraId="20094CC3" w14:textId="5293E52E" w:rsidR="009D5033" w:rsidRPr="00C77F5C" w:rsidRDefault="009D5033" w:rsidP="00E16229">
            <w:pPr>
              <w:rPr>
                <w:b/>
                <w:bCs/>
                <w:sz w:val="18"/>
                <w:szCs w:val="18"/>
              </w:rPr>
            </w:pPr>
            <w:r w:rsidRPr="00C77F5C">
              <w:rPr>
                <w:b/>
                <w:bCs/>
                <w:sz w:val="18"/>
                <w:szCs w:val="18"/>
              </w:rPr>
              <w:t>£32</w:t>
            </w:r>
            <w:r w:rsidR="00F43459">
              <w:rPr>
                <w:b/>
                <w:bCs/>
                <w:sz w:val="18"/>
                <w:szCs w:val="18"/>
              </w:rPr>
              <w:t>0</w:t>
            </w:r>
            <w:r w:rsidRPr="00C77F5C">
              <w:rPr>
                <w:b/>
                <w:bCs/>
                <w:sz w:val="18"/>
                <w:szCs w:val="18"/>
              </w:rPr>
              <w:t>,281.68</w:t>
            </w:r>
          </w:p>
        </w:tc>
        <w:tc>
          <w:tcPr>
            <w:tcW w:w="1226" w:type="pct"/>
          </w:tcPr>
          <w:p w14:paraId="1FD2AB16" w14:textId="7C3F4F65" w:rsidR="009D5033" w:rsidRPr="00C77F5C" w:rsidRDefault="009D5033" w:rsidP="00E16229">
            <w:pPr>
              <w:rPr>
                <w:b/>
                <w:bCs/>
                <w:sz w:val="18"/>
                <w:szCs w:val="18"/>
              </w:rPr>
            </w:pPr>
            <w:r w:rsidRPr="00C77F5C">
              <w:rPr>
                <w:b/>
                <w:bCs/>
                <w:sz w:val="18"/>
                <w:szCs w:val="18"/>
              </w:rPr>
              <w:t xml:space="preserve"> £7,</w:t>
            </w:r>
            <w:r w:rsidR="00E825E7">
              <w:rPr>
                <w:b/>
                <w:bCs/>
                <w:sz w:val="18"/>
                <w:szCs w:val="18"/>
              </w:rPr>
              <w:t>161</w:t>
            </w:r>
            <w:r w:rsidRPr="00C77F5C">
              <w:rPr>
                <w:b/>
                <w:bCs/>
                <w:sz w:val="18"/>
                <w:szCs w:val="18"/>
              </w:rPr>
              <w:t xml:space="preserve">.26 </w:t>
            </w:r>
          </w:p>
        </w:tc>
      </w:tr>
    </w:tbl>
    <w:p w14:paraId="5CEDA68A" w14:textId="7437FBE8" w:rsidR="00790C6E" w:rsidRPr="00631C1B" w:rsidRDefault="00790C6E" w:rsidP="009A3F2B">
      <w:pPr>
        <w:pStyle w:val="Source"/>
      </w:pPr>
      <w:r w:rsidRPr="00631C1B">
        <w:t xml:space="preserve">Source: </w:t>
      </w:r>
      <w:r w:rsidR="00C33E55" w:rsidRPr="00631C1B">
        <w:t>Creative Scotland (2020)</w:t>
      </w:r>
    </w:p>
    <w:p w14:paraId="03D4D626" w14:textId="62A5F525" w:rsidR="00DA1D2A" w:rsidRPr="00631C1B" w:rsidRDefault="00DA1D2A" w:rsidP="00200578">
      <w:pPr>
        <w:pStyle w:val="BodyText"/>
      </w:pPr>
    </w:p>
    <w:p w14:paraId="1CA051A4" w14:textId="15CCBD49" w:rsidR="00102B25" w:rsidRPr="00631C1B" w:rsidRDefault="00102B25" w:rsidP="00102B25">
      <w:pPr>
        <w:pStyle w:val="Caption"/>
      </w:pPr>
      <w:bookmarkStart w:id="56" w:name="_Toc42266756"/>
      <w:r w:rsidRPr="00631C1B">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21</w:t>
      </w:r>
      <w:r w:rsidRPr="00631C1B">
        <w:rPr>
          <w:noProof/>
        </w:rPr>
        <w:fldChar w:fldCharType="end"/>
      </w:r>
      <w:r w:rsidRPr="00631C1B">
        <w:t xml:space="preserve">  </w:t>
      </w:r>
      <w:proofErr w:type="spellStart"/>
      <w:r w:rsidR="00281FAF" w:rsidRPr="00631C1B">
        <w:t>CashBack</w:t>
      </w:r>
      <w:proofErr w:type="spellEnd"/>
      <w:r w:rsidRPr="00631C1B">
        <w:t xml:space="preserve"> for Creativity Targeted Fund organisations </w:t>
      </w:r>
      <w:r w:rsidR="004257F7" w:rsidRPr="00631C1B">
        <w:t>–</w:t>
      </w:r>
      <w:r w:rsidR="005A1A9E" w:rsidRPr="00631C1B">
        <w:t xml:space="preserve"> </w:t>
      </w:r>
      <w:r w:rsidR="004257F7" w:rsidRPr="00631C1B">
        <w:t xml:space="preserve">Year 3 and </w:t>
      </w:r>
      <w:r w:rsidR="008707DD" w:rsidRPr="00631C1B">
        <w:t>p</w:t>
      </w:r>
      <w:r w:rsidR="004257F7" w:rsidRPr="00631C1B">
        <w:t>roje</w:t>
      </w:r>
      <w:r w:rsidR="008707DD" w:rsidRPr="00631C1B">
        <w:t>ct spend by organisation</w:t>
      </w:r>
      <w:bookmarkEnd w:id="56"/>
    </w:p>
    <w:tbl>
      <w:tblPr>
        <w:tblStyle w:val="BOPtable"/>
        <w:tblW w:w="5000" w:type="pct"/>
        <w:tblLook w:val="04A0" w:firstRow="1" w:lastRow="0" w:firstColumn="1" w:lastColumn="0" w:noHBand="0" w:noVBand="1"/>
      </w:tblPr>
      <w:tblGrid>
        <w:gridCol w:w="3119"/>
        <w:gridCol w:w="3118"/>
        <w:gridCol w:w="3969"/>
        <w:gridCol w:w="2268"/>
        <w:gridCol w:w="2436"/>
      </w:tblGrid>
      <w:tr w:rsidR="00DE3950" w:rsidRPr="00631C1B" w14:paraId="72D24E78" w14:textId="25C291D0" w:rsidTr="00C7166B">
        <w:trPr>
          <w:cnfStyle w:val="100000000000" w:firstRow="1" w:lastRow="0" w:firstColumn="0" w:lastColumn="0" w:oddVBand="0" w:evenVBand="0" w:oddHBand="0" w:evenHBand="0" w:firstRowFirstColumn="0" w:firstRowLastColumn="0" w:lastRowFirstColumn="0" w:lastRowLastColumn="0"/>
          <w:trHeight w:val="216"/>
        </w:trPr>
        <w:tc>
          <w:tcPr>
            <w:tcW w:w="3119" w:type="dxa"/>
          </w:tcPr>
          <w:p w14:paraId="4D68CE2A" w14:textId="0E2E9C4D" w:rsidR="00DE3950" w:rsidRPr="00631C1B" w:rsidRDefault="00DE3950" w:rsidP="00200578">
            <w:r w:rsidRPr="00631C1B">
              <w:t>Organisation</w:t>
            </w:r>
          </w:p>
        </w:tc>
        <w:tc>
          <w:tcPr>
            <w:tcW w:w="3118" w:type="dxa"/>
          </w:tcPr>
          <w:p w14:paraId="231E6ADB" w14:textId="1E1DCFA0" w:rsidR="00DE3950" w:rsidRPr="00631C1B" w:rsidRDefault="00DE3950" w:rsidP="00200578">
            <w:r w:rsidRPr="00631C1B">
              <w:t>Project</w:t>
            </w:r>
          </w:p>
        </w:tc>
        <w:tc>
          <w:tcPr>
            <w:tcW w:w="3969" w:type="dxa"/>
          </w:tcPr>
          <w:p w14:paraId="48BA11B0" w14:textId="17E4854D" w:rsidR="00DE3950" w:rsidRPr="00631C1B" w:rsidRDefault="00DE3950" w:rsidP="00200578">
            <w:r w:rsidRPr="00631C1B">
              <w:t>Local authority</w:t>
            </w:r>
          </w:p>
        </w:tc>
        <w:tc>
          <w:tcPr>
            <w:tcW w:w="2268" w:type="dxa"/>
          </w:tcPr>
          <w:p w14:paraId="66E97DA6" w14:textId="313C1CB3" w:rsidR="00DE3950" w:rsidRPr="00631C1B" w:rsidRDefault="00DE3950" w:rsidP="00200578">
            <w:r w:rsidRPr="00631C1B">
              <w:t xml:space="preserve">Year 3 Actual </w:t>
            </w:r>
            <w:r w:rsidR="004257F7" w:rsidRPr="00631C1B">
              <w:t>spend</w:t>
            </w:r>
          </w:p>
        </w:tc>
        <w:tc>
          <w:tcPr>
            <w:tcW w:w="2436" w:type="dxa"/>
          </w:tcPr>
          <w:p w14:paraId="34608EAA" w14:textId="5BA440F3" w:rsidR="00DE3950" w:rsidRPr="00631C1B" w:rsidRDefault="00612840" w:rsidP="00200578">
            <w:r w:rsidRPr="00631C1B">
              <w:t>All years Actual</w:t>
            </w:r>
            <w:r w:rsidR="004257F7" w:rsidRPr="00631C1B">
              <w:t xml:space="preserve"> spend</w:t>
            </w:r>
          </w:p>
        </w:tc>
      </w:tr>
      <w:tr w:rsidR="00DE3950" w:rsidRPr="00631C1B" w14:paraId="5B214DB5" w14:textId="55F429E6" w:rsidTr="00C7166B">
        <w:trPr>
          <w:trHeight w:val="216"/>
        </w:trPr>
        <w:tc>
          <w:tcPr>
            <w:tcW w:w="3119" w:type="dxa"/>
          </w:tcPr>
          <w:p w14:paraId="0919552C" w14:textId="15FE6969" w:rsidR="00DE3950" w:rsidRPr="00631C1B" w:rsidRDefault="00DE3950" w:rsidP="00200578">
            <w:pPr>
              <w:rPr>
                <w:rFonts w:cs="Arial"/>
              </w:rPr>
            </w:pPr>
            <w:proofErr w:type="spellStart"/>
            <w:r w:rsidRPr="00631C1B">
              <w:rPr>
                <w:rFonts w:cs="Arial"/>
              </w:rPr>
              <w:t>Citymoves</w:t>
            </w:r>
            <w:proofErr w:type="spellEnd"/>
          </w:p>
        </w:tc>
        <w:tc>
          <w:tcPr>
            <w:tcW w:w="3118" w:type="dxa"/>
          </w:tcPr>
          <w:p w14:paraId="5BDCFA65" w14:textId="3561DB57" w:rsidR="00DE3950" w:rsidRPr="00631C1B" w:rsidRDefault="00DE3950" w:rsidP="00200578">
            <w:pPr>
              <w:rPr>
                <w:rFonts w:cs="Arial"/>
              </w:rPr>
            </w:pPr>
            <w:r w:rsidRPr="00631C1B">
              <w:rPr>
                <w:rFonts w:cs="Arial"/>
              </w:rPr>
              <w:t xml:space="preserve">Project </w:t>
            </w:r>
            <w:r w:rsidRPr="00C77F5C">
              <w:rPr>
                <w:rFonts w:cs="Arial"/>
              </w:rPr>
              <w:t>Strive</w:t>
            </w:r>
          </w:p>
        </w:tc>
        <w:tc>
          <w:tcPr>
            <w:tcW w:w="3969" w:type="dxa"/>
          </w:tcPr>
          <w:p w14:paraId="2BE52AF7" w14:textId="65E55B02" w:rsidR="00DE3950" w:rsidRPr="00631C1B" w:rsidRDefault="00DE3950" w:rsidP="00200578">
            <w:pPr>
              <w:rPr>
                <w:rFonts w:cs="Arial"/>
              </w:rPr>
            </w:pPr>
            <w:r w:rsidRPr="00631C1B">
              <w:rPr>
                <w:rFonts w:cs="Arial"/>
              </w:rPr>
              <w:t>Aberdeen City</w:t>
            </w:r>
          </w:p>
        </w:tc>
        <w:tc>
          <w:tcPr>
            <w:tcW w:w="2268" w:type="dxa"/>
          </w:tcPr>
          <w:p w14:paraId="2B6A5C44" w14:textId="3C00B9EE" w:rsidR="00DE3950" w:rsidRPr="00631C1B" w:rsidRDefault="006D02C0" w:rsidP="00200578">
            <w:pPr>
              <w:rPr>
                <w:rFonts w:cs="Arial"/>
              </w:rPr>
            </w:pPr>
            <w:r>
              <w:rPr>
                <w:rFonts w:cs="Arial"/>
              </w:rPr>
              <w:t>£31,884</w:t>
            </w:r>
          </w:p>
        </w:tc>
        <w:tc>
          <w:tcPr>
            <w:tcW w:w="2436" w:type="dxa"/>
          </w:tcPr>
          <w:p w14:paraId="12F841B6" w14:textId="209919F9" w:rsidR="00DE3950" w:rsidRPr="00631C1B" w:rsidRDefault="000F6071" w:rsidP="00200578">
            <w:pPr>
              <w:rPr>
                <w:rFonts w:cs="Arial"/>
              </w:rPr>
            </w:pPr>
            <w:r>
              <w:rPr>
                <w:rFonts w:cs="Arial"/>
              </w:rPr>
              <w:t>£95,465</w:t>
            </w:r>
          </w:p>
        </w:tc>
      </w:tr>
      <w:tr w:rsidR="00DE3950" w:rsidRPr="00631C1B" w14:paraId="2D033CAF" w14:textId="5796ED32" w:rsidTr="00C7166B">
        <w:trPr>
          <w:trHeight w:val="216"/>
        </w:trPr>
        <w:tc>
          <w:tcPr>
            <w:tcW w:w="3119" w:type="dxa"/>
          </w:tcPr>
          <w:p w14:paraId="27AF05DA" w14:textId="4592A5A4" w:rsidR="00DE3950" w:rsidRPr="00631C1B" w:rsidRDefault="00DE3950" w:rsidP="00200578">
            <w:pPr>
              <w:rPr>
                <w:rFonts w:cs="Arial"/>
              </w:rPr>
            </w:pPr>
            <w:r w:rsidRPr="00631C1B">
              <w:rPr>
                <w:rFonts w:cs="Arial"/>
              </w:rPr>
              <w:t>Eden Court</w:t>
            </w:r>
          </w:p>
        </w:tc>
        <w:tc>
          <w:tcPr>
            <w:tcW w:w="3118" w:type="dxa"/>
          </w:tcPr>
          <w:p w14:paraId="676421F7" w14:textId="7E18F0CF" w:rsidR="00DE3950" w:rsidRPr="00631C1B" w:rsidRDefault="00DE3950" w:rsidP="00200578">
            <w:pPr>
              <w:rPr>
                <w:rFonts w:cs="Arial"/>
              </w:rPr>
            </w:pPr>
            <w:r w:rsidRPr="00631C1B">
              <w:rPr>
                <w:rFonts w:cs="Arial"/>
              </w:rPr>
              <w:t xml:space="preserve">Eden Court Creative - </w:t>
            </w:r>
            <w:proofErr w:type="spellStart"/>
            <w:r w:rsidR="00281FAF" w:rsidRPr="00631C1B">
              <w:rPr>
                <w:rFonts w:cs="Arial"/>
              </w:rPr>
              <w:t>CashBack</w:t>
            </w:r>
            <w:proofErr w:type="spellEnd"/>
          </w:p>
        </w:tc>
        <w:tc>
          <w:tcPr>
            <w:tcW w:w="3969" w:type="dxa"/>
          </w:tcPr>
          <w:p w14:paraId="008041A8" w14:textId="73901013" w:rsidR="00DE3950" w:rsidRPr="00631C1B" w:rsidRDefault="00DE3950" w:rsidP="00200578">
            <w:pPr>
              <w:rPr>
                <w:rFonts w:cs="Arial"/>
              </w:rPr>
            </w:pPr>
            <w:r w:rsidRPr="00631C1B">
              <w:rPr>
                <w:rFonts w:cs="Arial"/>
              </w:rPr>
              <w:t>Highland / Moray</w:t>
            </w:r>
          </w:p>
        </w:tc>
        <w:tc>
          <w:tcPr>
            <w:tcW w:w="2268" w:type="dxa"/>
          </w:tcPr>
          <w:p w14:paraId="4C02FCA7" w14:textId="6AE5B8EA" w:rsidR="00DE3950" w:rsidRPr="00631C1B" w:rsidRDefault="00725E43" w:rsidP="00200578">
            <w:pPr>
              <w:rPr>
                <w:rFonts w:cs="Arial"/>
              </w:rPr>
            </w:pPr>
            <w:r>
              <w:rPr>
                <w:rFonts w:cs="Arial"/>
              </w:rPr>
              <w:t>£</w:t>
            </w:r>
            <w:r w:rsidR="00D2052B">
              <w:rPr>
                <w:rFonts w:cs="Arial"/>
              </w:rPr>
              <w:t>40,080</w:t>
            </w:r>
          </w:p>
        </w:tc>
        <w:tc>
          <w:tcPr>
            <w:tcW w:w="2436" w:type="dxa"/>
          </w:tcPr>
          <w:p w14:paraId="541689CE" w14:textId="09F3D6C8" w:rsidR="00DE3950" w:rsidRPr="00631C1B" w:rsidRDefault="00725E43" w:rsidP="00200578">
            <w:pPr>
              <w:rPr>
                <w:rFonts w:cs="Arial"/>
              </w:rPr>
            </w:pPr>
            <w:r>
              <w:rPr>
                <w:rFonts w:cs="Arial"/>
              </w:rPr>
              <w:t>£</w:t>
            </w:r>
            <w:r w:rsidR="00D2052B">
              <w:rPr>
                <w:rFonts w:cs="Arial"/>
              </w:rPr>
              <w:t>120,000</w:t>
            </w:r>
          </w:p>
        </w:tc>
      </w:tr>
      <w:tr w:rsidR="00DE3950" w:rsidRPr="00631C1B" w14:paraId="0F7F8424" w14:textId="7664EBBB" w:rsidTr="00C7166B">
        <w:trPr>
          <w:trHeight w:val="216"/>
        </w:trPr>
        <w:tc>
          <w:tcPr>
            <w:tcW w:w="3119" w:type="dxa"/>
          </w:tcPr>
          <w:p w14:paraId="703BC616" w14:textId="3A8FC174" w:rsidR="00DE3950" w:rsidRPr="00631C1B" w:rsidRDefault="00DE3950" w:rsidP="00200578">
            <w:pPr>
              <w:rPr>
                <w:rFonts w:cs="Arial"/>
              </w:rPr>
            </w:pPr>
            <w:r w:rsidRPr="00631C1B">
              <w:rPr>
                <w:rFonts w:cs="Arial"/>
              </w:rPr>
              <w:t>Findhorn Bay Arts</w:t>
            </w:r>
          </w:p>
        </w:tc>
        <w:tc>
          <w:tcPr>
            <w:tcW w:w="3118" w:type="dxa"/>
          </w:tcPr>
          <w:p w14:paraId="1C7EBF69" w14:textId="07FBA9A5" w:rsidR="00DE3950" w:rsidRPr="00631C1B" w:rsidRDefault="00DE3950" w:rsidP="00200578">
            <w:pPr>
              <w:rPr>
                <w:rFonts w:cs="Arial"/>
              </w:rPr>
            </w:pPr>
            <w:r w:rsidRPr="00631C1B">
              <w:rPr>
                <w:rFonts w:cs="Arial"/>
              </w:rPr>
              <w:t xml:space="preserve">In </w:t>
            </w:r>
            <w:proofErr w:type="gramStart"/>
            <w:r w:rsidRPr="00631C1B">
              <w:rPr>
                <w:rFonts w:cs="Arial"/>
              </w:rPr>
              <w:t>The</w:t>
            </w:r>
            <w:proofErr w:type="gramEnd"/>
            <w:r w:rsidRPr="00631C1B">
              <w:rPr>
                <w:rFonts w:cs="Arial"/>
              </w:rPr>
              <w:t xml:space="preserve"> Mix</w:t>
            </w:r>
          </w:p>
        </w:tc>
        <w:tc>
          <w:tcPr>
            <w:tcW w:w="3969" w:type="dxa"/>
          </w:tcPr>
          <w:p w14:paraId="402B22E4" w14:textId="704045DE" w:rsidR="00DE3950" w:rsidRPr="00631C1B" w:rsidRDefault="00DE3950" w:rsidP="00200578">
            <w:pPr>
              <w:rPr>
                <w:rFonts w:cs="Arial"/>
              </w:rPr>
            </w:pPr>
            <w:r w:rsidRPr="00631C1B">
              <w:rPr>
                <w:rFonts w:cs="Arial"/>
              </w:rPr>
              <w:t>Moray</w:t>
            </w:r>
          </w:p>
        </w:tc>
        <w:tc>
          <w:tcPr>
            <w:tcW w:w="2268" w:type="dxa"/>
          </w:tcPr>
          <w:p w14:paraId="597E7991" w14:textId="1D88ABE1" w:rsidR="00DE3950" w:rsidRPr="00631C1B" w:rsidRDefault="00995E7C" w:rsidP="00200578">
            <w:pPr>
              <w:rPr>
                <w:rFonts w:cs="Arial"/>
              </w:rPr>
            </w:pPr>
            <w:r>
              <w:rPr>
                <w:rFonts w:cs="Arial"/>
              </w:rPr>
              <w:t>£39,955</w:t>
            </w:r>
          </w:p>
        </w:tc>
        <w:tc>
          <w:tcPr>
            <w:tcW w:w="2436" w:type="dxa"/>
          </w:tcPr>
          <w:p w14:paraId="18B46EA8" w14:textId="26B097C8" w:rsidR="00DE3950" w:rsidRPr="00631C1B" w:rsidRDefault="001358D3" w:rsidP="00200578">
            <w:pPr>
              <w:rPr>
                <w:rFonts w:cs="Arial"/>
              </w:rPr>
            </w:pPr>
            <w:r>
              <w:rPr>
                <w:rFonts w:cs="Arial"/>
              </w:rPr>
              <w:t>£119,625</w:t>
            </w:r>
          </w:p>
        </w:tc>
      </w:tr>
      <w:tr w:rsidR="00DE3950" w:rsidRPr="00631C1B" w14:paraId="1D18E718" w14:textId="3FF82AD1" w:rsidTr="00C7166B">
        <w:trPr>
          <w:trHeight w:val="216"/>
        </w:trPr>
        <w:tc>
          <w:tcPr>
            <w:tcW w:w="3119" w:type="dxa"/>
          </w:tcPr>
          <w:p w14:paraId="29FCFF85" w14:textId="275E98FE" w:rsidR="00DE3950" w:rsidRPr="00631C1B" w:rsidRDefault="00DE3950" w:rsidP="00200578">
            <w:pPr>
              <w:rPr>
                <w:rFonts w:cs="Arial"/>
              </w:rPr>
            </w:pPr>
            <w:r w:rsidRPr="00631C1B">
              <w:rPr>
                <w:rFonts w:cs="Arial"/>
              </w:rPr>
              <w:t>Firefly</w:t>
            </w:r>
          </w:p>
        </w:tc>
        <w:tc>
          <w:tcPr>
            <w:tcW w:w="3118" w:type="dxa"/>
          </w:tcPr>
          <w:p w14:paraId="23D568C4" w14:textId="64B23050" w:rsidR="00DE3950" w:rsidRPr="00631C1B" w:rsidRDefault="00DE3950" w:rsidP="00200578">
            <w:pPr>
              <w:rPr>
                <w:rFonts w:cs="Arial"/>
              </w:rPr>
            </w:pPr>
            <w:r w:rsidRPr="00631C1B">
              <w:rPr>
                <w:rFonts w:cs="Arial"/>
              </w:rPr>
              <w:t>PILOT</w:t>
            </w:r>
          </w:p>
        </w:tc>
        <w:tc>
          <w:tcPr>
            <w:tcW w:w="3969" w:type="dxa"/>
          </w:tcPr>
          <w:p w14:paraId="69E34BC2" w14:textId="2C746FE6" w:rsidR="00DE3950" w:rsidRPr="00631C1B" w:rsidRDefault="00DE3950" w:rsidP="00200578">
            <w:pPr>
              <w:rPr>
                <w:rFonts w:cs="Arial"/>
              </w:rPr>
            </w:pPr>
            <w:r w:rsidRPr="00631C1B">
              <w:rPr>
                <w:rFonts w:cs="Arial"/>
              </w:rPr>
              <w:t>West Lothian</w:t>
            </w:r>
          </w:p>
        </w:tc>
        <w:tc>
          <w:tcPr>
            <w:tcW w:w="2268" w:type="dxa"/>
          </w:tcPr>
          <w:p w14:paraId="3B9E355B" w14:textId="0F908BC6" w:rsidR="00DE3950" w:rsidRPr="00631C1B" w:rsidRDefault="00BA347C" w:rsidP="00200578">
            <w:pPr>
              <w:rPr>
                <w:rFonts w:cs="Arial"/>
              </w:rPr>
            </w:pPr>
            <w:r>
              <w:rPr>
                <w:rFonts w:cs="Arial"/>
              </w:rPr>
              <w:t>£38,744</w:t>
            </w:r>
          </w:p>
        </w:tc>
        <w:tc>
          <w:tcPr>
            <w:tcW w:w="2436" w:type="dxa"/>
          </w:tcPr>
          <w:p w14:paraId="2E8F6D8B" w14:textId="486B32B8" w:rsidR="00DE3950" w:rsidRPr="00631C1B" w:rsidRDefault="00BA347C" w:rsidP="00200578">
            <w:pPr>
              <w:rPr>
                <w:rFonts w:cs="Arial"/>
              </w:rPr>
            </w:pPr>
            <w:r>
              <w:rPr>
                <w:rFonts w:cs="Arial"/>
              </w:rPr>
              <w:t>£</w:t>
            </w:r>
            <w:r w:rsidR="00351C64">
              <w:rPr>
                <w:rFonts w:cs="Arial"/>
              </w:rPr>
              <w:t>116,000</w:t>
            </w:r>
          </w:p>
        </w:tc>
      </w:tr>
      <w:tr w:rsidR="00DE3950" w:rsidRPr="00631C1B" w14:paraId="62EA7E82" w14:textId="6B628FD1" w:rsidTr="00C7166B">
        <w:trPr>
          <w:trHeight w:val="216"/>
        </w:trPr>
        <w:tc>
          <w:tcPr>
            <w:tcW w:w="3119" w:type="dxa"/>
          </w:tcPr>
          <w:p w14:paraId="5F664E6C" w14:textId="7E908094" w:rsidR="00DE3950" w:rsidRPr="00631C1B" w:rsidRDefault="00DE3950" w:rsidP="00200578">
            <w:pPr>
              <w:rPr>
                <w:rFonts w:cs="Arial"/>
              </w:rPr>
            </w:pPr>
            <w:r w:rsidRPr="00631C1B">
              <w:rPr>
                <w:rFonts w:cs="Arial"/>
              </w:rPr>
              <w:t>Hot Chocolate</w:t>
            </w:r>
          </w:p>
        </w:tc>
        <w:tc>
          <w:tcPr>
            <w:tcW w:w="3118" w:type="dxa"/>
          </w:tcPr>
          <w:p w14:paraId="05713D56" w14:textId="2CA54181" w:rsidR="00DE3950" w:rsidRPr="00631C1B" w:rsidRDefault="00DE3950" w:rsidP="00200578">
            <w:pPr>
              <w:rPr>
                <w:rFonts w:cs="Arial"/>
              </w:rPr>
            </w:pPr>
            <w:r w:rsidRPr="00631C1B">
              <w:rPr>
                <w:rFonts w:cs="Arial"/>
              </w:rPr>
              <w:t>Stretch</w:t>
            </w:r>
          </w:p>
        </w:tc>
        <w:tc>
          <w:tcPr>
            <w:tcW w:w="3969" w:type="dxa"/>
          </w:tcPr>
          <w:p w14:paraId="72DB62BE" w14:textId="383DCA2B" w:rsidR="00DE3950" w:rsidRPr="00631C1B" w:rsidRDefault="00DE3950" w:rsidP="00200578">
            <w:pPr>
              <w:rPr>
                <w:rFonts w:cs="Arial"/>
              </w:rPr>
            </w:pPr>
            <w:r w:rsidRPr="00631C1B">
              <w:rPr>
                <w:rFonts w:cs="Arial"/>
              </w:rPr>
              <w:t>Dundee City</w:t>
            </w:r>
          </w:p>
        </w:tc>
        <w:tc>
          <w:tcPr>
            <w:tcW w:w="2268" w:type="dxa"/>
          </w:tcPr>
          <w:p w14:paraId="31F9B13E" w14:textId="3ECB3B14" w:rsidR="00DE3950" w:rsidRPr="00631C1B" w:rsidRDefault="00DE0F64" w:rsidP="00200578">
            <w:pPr>
              <w:rPr>
                <w:rFonts w:cs="Arial"/>
              </w:rPr>
            </w:pPr>
            <w:r>
              <w:rPr>
                <w:rFonts w:cs="Arial"/>
              </w:rPr>
              <w:t>£38,907</w:t>
            </w:r>
          </w:p>
        </w:tc>
        <w:tc>
          <w:tcPr>
            <w:tcW w:w="2436" w:type="dxa"/>
          </w:tcPr>
          <w:p w14:paraId="3F34419B" w14:textId="67CA26DD" w:rsidR="00DE3950" w:rsidRPr="00631C1B" w:rsidRDefault="001358D3" w:rsidP="00200578">
            <w:pPr>
              <w:rPr>
                <w:rFonts w:cs="Arial"/>
              </w:rPr>
            </w:pPr>
            <w:r>
              <w:rPr>
                <w:rFonts w:cs="Arial"/>
              </w:rPr>
              <w:t>£116, 491</w:t>
            </w:r>
          </w:p>
        </w:tc>
      </w:tr>
      <w:tr w:rsidR="00DE3950" w:rsidRPr="00631C1B" w14:paraId="3EF7600A" w14:textId="5364A3B7" w:rsidTr="00C7166B">
        <w:trPr>
          <w:trHeight w:val="216"/>
        </w:trPr>
        <w:tc>
          <w:tcPr>
            <w:tcW w:w="3119" w:type="dxa"/>
          </w:tcPr>
          <w:p w14:paraId="590428C7" w14:textId="5FD3319F" w:rsidR="00DE3950" w:rsidRPr="00631C1B" w:rsidRDefault="00DE3950" w:rsidP="00200578">
            <w:pPr>
              <w:rPr>
                <w:rFonts w:cs="Arial"/>
              </w:rPr>
            </w:pPr>
            <w:r w:rsidRPr="00631C1B">
              <w:rPr>
                <w:rFonts w:cs="Arial"/>
              </w:rPr>
              <w:t>MCR Pathways</w:t>
            </w:r>
          </w:p>
        </w:tc>
        <w:tc>
          <w:tcPr>
            <w:tcW w:w="3118" w:type="dxa"/>
          </w:tcPr>
          <w:p w14:paraId="23BADB3B" w14:textId="5504273A" w:rsidR="00DE3950" w:rsidRPr="00631C1B" w:rsidRDefault="00DE3950" w:rsidP="00200578">
            <w:pPr>
              <w:rPr>
                <w:rFonts w:cs="Arial"/>
              </w:rPr>
            </w:pPr>
            <w:r w:rsidRPr="00631C1B">
              <w:rPr>
                <w:rFonts w:cs="Arial"/>
              </w:rPr>
              <w:t>Young Glasgow Talent</w:t>
            </w:r>
          </w:p>
        </w:tc>
        <w:tc>
          <w:tcPr>
            <w:tcW w:w="3969" w:type="dxa"/>
          </w:tcPr>
          <w:p w14:paraId="0F9D352F" w14:textId="1EC415B2" w:rsidR="00DE3950" w:rsidRPr="00631C1B" w:rsidRDefault="00DE3950" w:rsidP="00200578">
            <w:pPr>
              <w:rPr>
                <w:rFonts w:cs="Arial"/>
              </w:rPr>
            </w:pPr>
            <w:r w:rsidRPr="00631C1B">
              <w:rPr>
                <w:rFonts w:cs="Arial"/>
              </w:rPr>
              <w:t>Glasgow</w:t>
            </w:r>
          </w:p>
        </w:tc>
        <w:tc>
          <w:tcPr>
            <w:tcW w:w="2268" w:type="dxa"/>
          </w:tcPr>
          <w:p w14:paraId="3E6B516C" w14:textId="0614E1A1" w:rsidR="00DE3950" w:rsidRPr="00631C1B" w:rsidRDefault="00755C6A" w:rsidP="00200578">
            <w:pPr>
              <w:rPr>
                <w:rFonts w:cs="Arial"/>
              </w:rPr>
            </w:pPr>
            <w:r>
              <w:rPr>
                <w:rFonts w:cs="Arial"/>
              </w:rPr>
              <w:t>£</w:t>
            </w:r>
            <w:r w:rsidR="00527567">
              <w:rPr>
                <w:rFonts w:cs="Arial"/>
              </w:rPr>
              <w:t>27,503</w:t>
            </w:r>
          </w:p>
        </w:tc>
        <w:tc>
          <w:tcPr>
            <w:tcW w:w="2436" w:type="dxa"/>
          </w:tcPr>
          <w:p w14:paraId="56E97B4C" w14:textId="1AA6F4EF" w:rsidR="00DE3950" w:rsidRPr="00631C1B" w:rsidRDefault="00527567" w:rsidP="00200578">
            <w:pPr>
              <w:rPr>
                <w:rFonts w:cs="Arial"/>
              </w:rPr>
            </w:pPr>
            <w:r>
              <w:rPr>
                <w:rFonts w:cs="Arial"/>
              </w:rPr>
              <w:t>£82,345</w:t>
            </w:r>
          </w:p>
        </w:tc>
      </w:tr>
      <w:tr w:rsidR="00DE3950" w:rsidRPr="00631C1B" w14:paraId="555541BA" w14:textId="3C2E48BA" w:rsidTr="00C7166B">
        <w:trPr>
          <w:trHeight w:val="216"/>
        </w:trPr>
        <w:tc>
          <w:tcPr>
            <w:tcW w:w="3119" w:type="dxa"/>
          </w:tcPr>
          <w:p w14:paraId="332C331B" w14:textId="44ACF26D" w:rsidR="00DE3950" w:rsidRPr="00631C1B" w:rsidRDefault="00DE3950" w:rsidP="00200578">
            <w:pPr>
              <w:rPr>
                <w:rFonts w:cs="Arial"/>
              </w:rPr>
            </w:pPr>
            <w:r w:rsidRPr="00631C1B">
              <w:rPr>
                <w:rFonts w:cs="Arial"/>
              </w:rPr>
              <w:t>Oasis Youth Centre (Dumfries &amp; Galloway Council)</w:t>
            </w:r>
          </w:p>
        </w:tc>
        <w:tc>
          <w:tcPr>
            <w:tcW w:w="3118" w:type="dxa"/>
          </w:tcPr>
          <w:p w14:paraId="0F647D76" w14:textId="43C00161" w:rsidR="00DE3950" w:rsidRPr="00631C1B" w:rsidRDefault="00DE3950" w:rsidP="00200578">
            <w:pPr>
              <w:rPr>
                <w:rFonts w:cs="Arial"/>
              </w:rPr>
            </w:pPr>
            <w:r w:rsidRPr="00631C1B">
              <w:rPr>
                <w:rFonts w:cs="Arial"/>
              </w:rPr>
              <w:t>Urban Arts Project</w:t>
            </w:r>
          </w:p>
        </w:tc>
        <w:tc>
          <w:tcPr>
            <w:tcW w:w="3969" w:type="dxa"/>
          </w:tcPr>
          <w:p w14:paraId="41B1539F" w14:textId="644B582B" w:rsidR="00DE3950" w:rsidRPr="00631C1B" w:rsidRDefault="00DE3950" w:rsidP="00200578">
            <w:pPr>
              <w:rPr>
                <w:rFonts w:cs="Arial"/>
              </w:rPr>
            </w:pPr>
            <w:r w:rsidRPr="00631C1B">
              <w:rPr>
                <w:rFonts w:cs="Arial"/>
              </w:rPr>
              <w:t>Dumfries &amp; Galloway</w:t>
            </w:r>
          </w:p>
        </w:tc>
        <w:tc>
          <w:tcPr>
            <w:tcW w:w="2268" w:type="dxa"/>
          </w:tcPr>
          <w:p w14:paraId="11CF00CC" w14:textId="44D44088" w:rsidR="00DE3950" w:rsidRPr="00631C1B" w:rsidRDefault="00E4322C" w:rsidP="00200578">
            <w:pPr>
              <w:rPr>
                <w:rFonts w:cs="Arial"/>
              </w:rPr>
            </w:pPr>
            <w:r>
              <w:rPr>
                <w:rFonts w:cs="Arial"/>
              </w:rPr>
              <w:t>£34,252</w:t>
            </w:r>
          </w:p>
        </w:tc>
        <w:tc>
          <w:tcPr>
            <w:tcW w:w="2436" w:type="dxa"/>
          </w:tcPr>
          <w:p w14:paraId="56A8E5C1" w14:textId="3D8CF2B2" w:rsidR="00DE3950" w:rsidRPr="00631C1B" w:rsidRDefault="00F87070" w:rsidP="00200578">
            <w:pPr>
              <w:rPr>
                <w:rFonts w:cs="Arial"/>
              </w:rPr>
            </w:pPr>
            <w:r>
              <w:rPr>
                <w:rFonts w:cs="Arial"/>
              </w:rPr>
              <w:t>£102,548</w:t>
            </w:r>
          </w:p>
        </w:tc>
      </w:tr>
      <w:tr w:rsidR="00DE3950" w:rsidRPr="00631C1B" w14:paraId="6398D0DE" w14:textId="6C68D669" w:rsidTr="00C7166B">
        <w:trPr>
          <w:trHeight w:val="216"/>
        </w:trPr>
        <w:tc>
          <w:tcPr>
            <w:tcW w:w="3119" w:type="dxa"/>
          </w:tcPr>
          <w:p w14:paraId="42C7671E" w14:textId="654F22AF" w:rsidR="00DE3950" w:rsidRPr="00631C1B" w:rsidRDefault="00DE3950" w:rsidP="00200578">
            <w:pPr>
              <w:rPr>
                <w:rFonts w:cs="Arial"/>
              </w:rPr>
            </w:pPr>
            <w:r w:rsidRPr="00631C1B">
              <w:rPr>
                <w:rFonts w:cs="Arial"/>
              </w:rPr>
              <w:t>Platform</w:t>
            </w:r>
          </w:p>
        </w:tc>
        <w:tc>
          <w:tcPr>
            <w:tcW w:w="3118" w:type="dxa"/>
          </w:tcPr>
          <w:p w14:paraId="005D6677" w14:textId="6532B414" w:rsidR="00DE3950" w:rsidRPr="00631C1B" w:rsidRDefault="00DE3950" w:rsidP="00200578">
            <w:pPr>
              <w:rPr>
                <w:rFonts w:cs="Arial"/>
              </w:rPr>
            </w:pPr>
            <w:proofErr w:type="spellStart"/>
            <w:r w:rsidRPr="00631C1B">
              <w:rPr>
                <w:rFonts w:cs="Arial"/>
              </w:rPr>
              <w:t>pARTicipation</w:t>
            </w:r>
            <w:proofErr w:type="spellEnd"/>
          </w:p>
        </w:tc>
        <w:tc>
          <w:tcPr>
            <w:tcW w:w="3969" w:type="dxa"/>
          </w:tcPr>
          <w:p w14:paraId="76CBCEF9" w14:textId="4936294D" w:rsidR="00DE3950" w:rsidRPr="00631C1B" w:rsidRDefault="00DE3950" w:rsidP="00200578">
            <w:pPr>
              <w:rPr>
                <w:rFonts w:cs="Arial"/>
              </w:rPr>
            </w:pPr>
            <w:r w:rsidRPr="00631C1B">
              <w:rPr>
                <w:rFonts w:cs="Arial"/>
              </w:rPr>
              <w:t>Glasgow</w:t>
            </w:r>
          </w:p>
        </w:tc>
        <w:tc>
          <w:tcPr>
            <w:tcW w:w="2268" w:type="dxa"/>
          </w:tcPr>
          <w:p w14:paraId="050AC9F3" w14:textId="7DDCCFC8" w:rsidR="00DE3950" w:rsidRPr="00631C1B" w:rsidRDefault="009E6DC6" w:rsidP="00200578">
            <w:pPr>
              <w:rPr>
                <w:rFonts w:cs="Arial"/>
              </w:rPr>
            </w:pPr>
            <w:r>
              <w:rPr>
                <w:rFonts w:cs="Arial"/>
              </w:rPr>
              <w:t>£33,400</w:t>
            </w:r>
          </w:p>
        </w:tc>
        <w:tc>
          <w:tcPr>
            <w:tcW w:w="2436" w:type="dxa"/>
          </w:tcPr>
          <w:p w14:paraId="0CF65FD3" w14:textId="1BC03FCE" w:rsidR="00DE3950" w:rsidRPr="00631C1B" w:rsidRDefault="008543E8" w:rsidP="00200578">
            <w:pPr>
              <w:rPr>
                <w:rFonts w:cs="Arial"/>
              </w:rPr>
            </w:pPr>
            <w:r>
              <w:rPr>
                <w:rFonts w:cs="Arial"/>
              </w:rPr>
              <w:t>£100,000</w:t>
            </w:r>
          </w:p>
        </w:tc>
      </w:tr>
      <w:tr w:rsidR="00DE3950" w:rsidRPr="00631C1B" w14:paraId="401F2CBE" w14:textId="08ADA974" w:rsidTr="00C7166B">
        <w:trPr>
          <w:trHeight w:val="216"/>
        </w:trPr>
        <w:tc>
          <w:tcPr>
            <w:tcW w:w="3119" w:type="dxa"/>
          </w:tcPr>
          <w:p w14:paraId="7891B4B4" w14:textId="0FE0237F" w:rsidR="00DE3950" w:rsidRPr="00631C1B" w:rsidRDefault="00DE3950" w:rsidP="00200578">
            <w:pPr>
              <w:rPr>
                <w:rFonts w:cs="Arial"/>
              </w:rPr>
            </w:pPr>
            <w:r w:rsidRPr="00631C1B">
              <w:rPr>
                <w:rFonts w:cs="Arial"/>
              </w:rPr>
              <w:t>Quarriers</w:t>
            </w:r>
          </w:p>
        </w:tc>
        <w:tc>
          <w:tcPr>
            <w:tcW w:w="3118" w:type="dxa"/>
          </w:tcPr>
          <w:p w14:paraId="540CDB32" w14:textId="37ACB8FB" w:rsidR="00DE3950" w:rsidRPr="00631C1B" w:rsidRDefault="00DE3950" w:rsidP="00200578">
            <w:pPr>
              <w:rPr>
                <w:rFonts w:cs="Arial"/>
              </w:rPr>
            </w:pPr>
            <w:r w:rsidRPr="00631C1B">
              <w:rPr>
                <w:rFonts w:cs="Arial"/>
              </w:rPr>
              <w:t>Oh Yellow</w:t>
            </w:r>
          </w:p>
        </w:tc>
        <w:tc>
          <w:tcPr>
            <w:tcW w:w="3969" w:type="dxa"/>
          </w:tcPr>
          <w:p w14:paraId="08CE585A" w14:textId="68E2F3A6" w:rsidR="00DE3950" w:rsidRPr="00631C1B" w:rsidRDefault="00DE3950" w:rsidP="00200578">
            <w:pPr>
              <w:rPr>
                <w:rFonts w:cs="Arial"/>
              </w:rPr>
            </w:pPr>
            <w:r w:rsidRPr="00631C1B">
              <w:rPr>
                <w:rFonts w:cs="Arial"/>
              </w:rPr>
              <w:t>Glasgow</w:t>
            </w:r>
          </w:p>
        </w:tc>
        <w:tc>
          <w:tcPr>
            <w:tcW w:w="2268" w:type="dxa"/>
          </w:tcPr>
          <w:p w14:paraId="760AEADC" w14:textId="393E72F5" w:rsidR="00DE3950" w:rsidRPr="00631C1B" w:rsidRDefault="00157C42" w:rsidP="00200578">
            <w:pPr>
              <w:rPr>
                <w:rFonts w:cs="Arial"/>
              </w:rPr>
            </w:pPr>
            <w:r>
              <w:rPr>
                <w:rFonts w:cs="Arial"/>
              </w:rPr>
              <w:t>£14,433</w:t>
            </w:r>
          </w:p>
        </w:tc>
        <w:tc>
          <w:tcPr>
            <w:tcW w:w="2436" w:type="dxa"/>
          </w:tcPr>
          <w:p w14:paraId="094A7FF1" w14:textId="0A253368" w:rsidR="00DE3950" w:rsidRPr="00631C1B" w:rsidRDefault="00F87070" w:rsidP="00200578">
            <w:pPr>
              <w:rPr>
                <w:rFonts w:cs="Arial"/>
              </w:rPr>
            </w:pPr>
            <w:r>
              <w:rPr>
                <w:rFonts w:cs="Arial"/>
              </w:rPr>
              <w:t>£43,213</w:t>
            </w:r>
          </w:p>
        </w:tc>
      </w:tr>
      <w:tr w:rsidR="00DE3950" w:rsidRPr="00631C1B" w14:paraId="14B76430" w14:textId="16D14F16" w:rsidTr="00C7166B">
        <w:trPr>
          <w:trHeight w:val="216"/>
        </w:trPr>
        <w:tc>
          <w:tcPr>
            <w:tcW w:w="3119" w:type="dxa"/>
          </w:tcPr>
          <w:p w14:paraId="07044B45" w14:textId="62F64F4B" w:rsidR="00DE3950" w:rsidRPr="00631C1B" w:rsidRDefault="00DE3950" w:rsidP="00200578">
            <w:pPr>
              <w:rPr>
                <w:rFonts w:cs="Arial"/>
              </w:rPr>
            </w:pPr>
            <w:proofErr w:type="spellStart"/>
            <w:r w:rsidRPr="00631C1B">
              <w:rPr>
                <w:rFonts w:cs="Arial"/>
              </w:rPr>
              <w:t>Reeltime</w:t>
            </w:r>
            <w:proofErr w:type="spellEnd"/>
          </w:p>
        </w:tc>
        <w:tc>
          <w:tcPr>
            <w:tcW w:w="3118" w:type="dxa"/>
          </w:tcPr>
          <w:p w14:paraId="581341E7" w14:textId="403F7A8B" w:rsidR="00DE3950" w:rsidRPr="00631C1B" w:rsidRDefault="00DE3950" w:rsidP="00200578">
            <w:pPr>
              <w:rPr>
                <w:rFonts w:cs="Arial"/>
              </w:rPr>
            </w:pPr>
            <w:r w:rsidRPr="00631C1B">
              <w:rPr>
                <w:rFonts w:cs="Arial"/>
              </w:rPr>
              <w:t>Access to Music</w:t>
            </w:r>
          </w:p>
        </w:tc>
        <w:tc>
          <w:tcPr>
            <w:tcW w:w="3969" w:type="dxa"/>
          </w:tcPr>
          <w:p w14:paraId="4AC84C2A" w14:textId="1282D217" w:rsidR="00DE3950" w:rsidRPr="00631C1B" w:rsidRDefault="00DE3950" w:rsidP="00200578">
            <w:pPr>
              <w:rPr>
                <w:rFonts w:cs="Arial"/>
              </w:rPr>
            </w:pPr>
            <w:r w:rsidRPr="00631C1B">
              <w:rPr>
                <w:rFonts w:cs="Arial"/>
              </w:rPr>
              <w:t>North Lanarkshire</w:t>
            </w:r>
          </w:p>
        </w:tc>
        <w:tc>
          <w:tcPr>
            <w:tcW w:w="2268" w:type="dxa"/>
          </w:tcPr>
          <w:p w14:paraId="213A9BC7" w14:textId="37D22A5D" w:rsidR="00DE3950" w:rsidRPr="00631C1B" w:rsidRDefault="00157C42" w:rsidP="00200578">
            <w:pPr>
              <w:rPr>
                <w:rFonts w:cs="Arial"/>
              </w:rPr>
            </w:pPr>
            <w:r>
              <w:rPr>
                <w:rFonts w:cs="Arial"/>
              </w:rPr>
              <w:t>£22,319</w:t>
            </w:r>
          </w:p>
        </w:tc>
        <w:tc>
          <w:tcPr>
            <w:tcW w:w="2436" w:type="dxa"/>
          </w:tcPr>
          <w:p w14:paraId="76D3B6E3" w14:textId="528805E8" w:rsidR="00DE3950" w:rsidRPr="00631C1B" w:rsidRDefault="00F87070" w:rsidP="00200578">
            <w:pPr>
              <w:rPr>
                <w:rFonts w:cs="Arial"/>
              </w:rPr>
            </w:pPr>
            <w:r>
              <w:rPr>
                <w:rFonts w:cs="Arial"/>
              </w:rPr>
              <w:t>£66,</w:t>
            </w:r>
            <w:r w:rsidR="00E07330">
              <w:rPr>
                <w:rFonts w:cs="Arial"/>
              </w:rPr>
              <w:t>823</w:t>
            </w:r>
          </w:p>
        </w:tc>
      </w:tr>
      <w:tr w:rsidR="00DE3950" w:rsidRPr="00631C1B" w14:paraId="21677A82" w14:textId="073ED3C8" w:rsidTr="00C7166B">
        <w:trPr>
          <w:trHeight w:val="216"/>
        </w:trPr>
        <w:tc>
          <w:tcPr>
            <w:tcW w:w="3119" w:type="dxa"/>
          </w:tcPr>
          <w:p w14:paraId="5A8B3A69" w14:textId="13882706" w:rsidR="00DE3950" w:rsidRPr="00631C1B" w:rsidRDefault="00DE3950" w:rsidP="00200578">
            <w:pPr>
              <w:rPr>
                <w:rFonts w:cs="Arial"/>
              </w:rPr>
            </w:pPr>
            <w:r w:rsidRPr="00631C1B">
              <w:rPr>
                <w:rFonts w:cs="Arial"/>
              </w:rPr>
              <w:t>SEE</w:t>
            </w:r>
          </w:p>
        </w:tc>
        <w:tc>
          <w:tcPr>
            <w:tcW w:w="3118" w:type="dxa"/>
          </w:tcPr>
          <w:p w14:paraId="66AB4B70" w14:textId="7DEA1EBF" w:rsidR="00DE3950" w:rsidRPr="00631C1B" w:rsidRDefault="00281FAF" w:rsidP="00200578">
            <w:pPr>
              <w:rPr>
                <w:rFonts w:cs="Arial"/>
              </w:rPr>
            </w:pPr>
            <w:proofErr w:type="spellStart"/>
            <w:r w:rsidRPr="00631C1B">
              <w:rPr>
                <w:rFonts w:cs="Arial"/>
              </w:rPr>
              <w:t>CashBack</w:t>
            </w:r>
            <w:proofErr w:type="spellEnd"/>
            <w:r w:rsidR="00DE3950" w:rsidRPr="00631C1B">
              <w:rPr>
                <w:rFonts w:cs="Arial"/>
              </w:rPr>
              <w:t xml:space="preserve"> for Creativity</w:t>
            </w:r>
          </w:p>
        </w:tc>
        <w:tc>
          <w:tcPr>
            <w:tcW w:w="3969" w:type="dxa"/>
          </w:tcPr>
          <w:p w14:paraId="2A4CC399" w14:textId="28263DFB" w:rsidR="00DE3950" w:rsidRPr="00631C1B" w:rsidRDefault="00DE3950" w:rsidP="00200578">
            <w:pPr>
              <w:rPr>
                <w:rFonts w:cs="Arial"/>
              </w:rPr>
            </w:pPr>
            <w:r w:rsidRPr="00631C1B">
              <w:rPr>
                <w:rFonts w:cs="Arial"/>
              </w:rPr>
              <w:t>Edinburgh</w:t>
            </w:r>
          </w:p>
        </w:tc>
        <w:tc>
          <w:tcPr>
            <w:tcW w:w="2268" w:type="dxa"/>
          </w:tcPr>
          <w:p w14:paraId="12021A08" w14:textId="064228E6" w:rsidR="00DE3950" w:rsidRPr="00631C1B" w:rsidRDefault="00DE0F64" w:rsidP="00200578">
            <w:pPr>
              <w:rPr>
                <w:rFonts w:cs="Arial"/>
              </w:rPr>
            </w:pPr>
            <w:r>
              <w:rPr>
                <w:rFonts w:cs="Arial"/>
              </w:rPr>
              <w:t>£40,080</w:t>
            </w:r>
          </w:p>
        </w:tc>
        <w:tc>
          <w:tcPr>
            <w:tcW w:w="2436" w:type="dxa"/>
          </w:tcPr>
          <w:p w14:paraId="104F5755" w14:textId="51D9105B" w:rsidR="00DE3950" w:rsidRPr="00631C1B" w:rsidRDefault="00E07330" w:rsidP="00200578">
            <w:pPr>
              <w:rPr>
                <w:rFonts w:cs="Arial"/>
              </w:rPr>
            </w:pPr>
            <w:r>
              <w:rPr>
                <w:rFonts w:cs="Arial"/>
              </w:rPr>
              <w:t>£120,000</w:t>
            </w:r>
          </w:p>
        </w:tc>
      </w:tr>
      <w:tr w:rsidR="00DE3950" w:rsidRPr="00631C1B" w14:paraId="32E3A752" w14:textId="7663F69E" w:rsidTr="00C7166B">
        <w:trPr>
          <w:trHeight w:val="216"/>
        </w:trPr>
        <w:tc>
          <w:tcPr>
            <w:tcW w:w="3119" w:type="dxa"/>
          </w:tcPr>
          <w:p w14:paraId="19D3A14C" w14:textId="70BD9FAA" w:rsidR="00DE3950" w:rsidRPr="00631C1B" w:rsidRDefault="00DE3950" w:rsidP="00200578">
            <w:pPr>
              <w:rPr>
                <w:rFonts w:cs="Arial"/>
              </w:rPr>
            </w:pPr>
            <w:r w:rsidRPr="00631C1B">
              <w:rPr>
                <w:rFonts w:cs="Arial"/>
              </w:rPr>
              <w:t>SHMU</w:t>
            </w:r>
          </w:p>
        </w:tc>
        <w:tc>
          <w:tcPr>
            <w:tcW w:w="3118" w:type="dxa"/>
          </w:tcPr>
          <w:p w14:paraId="639CC067" w14:textId="4DF3E7FE" w:rsidR="00DE3950" w:rsidRPr="00631C1B" w:rsidRDefault="00DE3950" w:rsidP="00200578">
            <w:pPr>
              <w:rPr>
                <w:rFonts w:cs="Arial"/>
              </w:rPr>
            </w:pPr>
            <w:r w:rsidRPr="00631C1B">
              <w:rPr>
                <w:rFonts w:cs="Arial"/>
              </w:rPr>
              <w:t>Youth Media Project</w:t>
            </w:r>
          </w:p>
        </w:tc>
        <w:tc>
          <w:tcPr>
            <w:tcW w:w="3969" w:type="dxa"/>
          </w:tcPr>
          <w:p w14:paraId="66DFB2CE" w14:textId="4DAF2480" w:rsidR="00DE3950" w:rsidRPr="00631C1B" w:rsidRDefault="00DE3950" w:rsidP="00200578">
            <w:pPr>
              <w:rPr>
                <w:rFonts w:cs="Arial"/>
              </w:rPr>
            </w:pPr>
            <w:r w:rsidRPr="00631C1B">
              <w:rPr>
                <w:rFonts w:cs="Arial"/>
              </w:rPr>
              <w:t>Aberdeen City</w:t>
            </w:r>
          </w:p>
        </w:tc>
        <w:tc>
          <w:tcPr>
            <w:tcW w:w="2268" w:type="dxa"/>
          </w:tcPr>
          <w:p w14:paraId="516D91F9" w14:textId="322F5F57" w:rsidR="00DE3950" w:rsidRPr="00631C1B" w:rsidRDefault="00E4322C" w:rsidP="00200578">
            <w:pPr>
              <w:rPr>
                <w:rFonts w:cs="Arial"/>
              </w:rPr>
            </w:pPr>
            <w:r>
              <w:rPr>
                <w:rFonts w:cs="Arial"/>
              </w:rPr>
              <w:t>£40,080</w:t>
            </w:r>
          </w:p>
        </w:tc>
        <w:tc>
          <w:tcPr>
            <w:tcW w:w="2436" w:type="dxa"/>
          </w:tcPr>
          <w:p w14:paraId="73F8F81E" w14:textId="7630622B" w:rsidR="00DE3950" w:rsidRPr="00631C1B" w:rsidRDefault="00E07330" w:rsidP="00200578">
            <w:pPr>
              <w:rPr>
                <w:rFonts w:cs="Arial"/>
              </w:rPr>
            </w:pPr>
            <w:r>
              <w:rPr>
                <w:rFonts w:cs="Arial"/>
              </w:rPr>
              <w:t>£120,000</w:t>
            </w:r>
          </w:p>
        </w:tc>
      </w:tr>
      <w:tr w:rsidR="00DE3950" w:rsidRPr="00631C1B" w14:paraId="5D39B7F2" w14:textId="07D09AA7" w:rsidTr="00C7166B">
        <w:trPr>
          <w:trHeight w:val="216"/>
        </w:trPr>
        <w:tc>
          <w:tcPr>
            <w:tcW w:w="3119" w:type="dxa"/>
          </w:tcPr>
          <w:p w14:paraId="525E07AD" w14:textId="6C33447C" w:rsidR="00DE3950" w:rsidRPr="00631C1B" w:rsidRDefault="00DE3950" w:rsidP="00200578">
            <w:pPr>
              <w:rPr>
                <w:rFonts w:cs="Arial"/>
              </w:rPr>
            </w:pPr>
            <w:proofErr w:type="spellStart"/>
            <w:r w:rsidRPr="00631C1B">
              <w:rPr>
                <w:rFonts w:cs="Arial"/>
              </w:rPr>
              <w:t>YDance</w:t>
            </w:r>
            <w:proofErr w:type="spellEnd"/>
          </w:p>
        </w:tc>
        <w:tc>
          <w:tcPr>
            <w:tcW w:w="3118" w:type="dxa"/>
          </w:tcPr>
          <w:p w14:paraId="7C594D43" w14:textId="3E1BDF48" w:rsidR="00DE3950" w:rsidRPr="00631C1B" w:rsidRDefault="00DE3950" w:rsidP="00200578">
            <w:pPr>
              <w:rPr>
                <w:rFonts w:cs="Arial"/>
              </w:rPr>
            </w:pPr>
            <w:r w:rsidRPr="00631C1B">
              <w:rPr>
                <w:rFonts w:cs="Arial"/>
              </w:rPr>
              <w:t>Take the Lead</w:t>
            </w:r>
          </w:p>
        </w:tc>
        <w:tc>
          <w:tcPr>
            <w:tcW w:w="3969" w:type="dxa"/>
          </w:tcPr>
          <w:p w14:paraId="08F6063E" w14:textId="74188C63" w:rsidR="00DE3950" w:rsidRPr="00631C1B" w:rsidRDefault="00DE3950" w:rsidP="00200578">
            <w:pPr>
              <w:rPr>
                <w:rFonts w:cs="Arial"/>
              </w:rPr>
            </w:pPr>
            <w:r w:rsidRPr="00631C1B">
              <w:rPr>
                <w:rFonts w:cs="Arial"/>
              </w:rPr>
              <w:t>Falkirk/North Ayrshire</w:t>
            </w:r>
          </w:p>
        </w:tc>
        <w:tc>
          <w:tcPr>
            <w:tcW w:w="2268" w:type="dxa"/>
          </w:tcPr>
          <w:p w14:paraId="02772C97" w14:textId="4E168A28" w:rsidR="00DE3950" w:rsidRPr="00631C1B" w:rsidRDefault="002C7596" w:rsidP="00200578">
            <w:pPr>
              <w:rPr>
                <w:rFonts w:cs="Arial"/>
              </w:rPr>
            </w:pPr>
            <w:r>
              <w:rPr>
                <w:rFonts w:cs="Arial"/>
              </w:rPr>
              <w:t>£35,972</w:t>
            </w:r>
          </w:p>
        </w:tc>
        <w:tc>
          <w:tcPr>
            <w:tcW w:w="2436" w:type="dxa"/>
          </w:tcPr>
          <w:p w14:paraId="68C9BBBA" w14:textId="7FF65FAD" w:rsidR="00DE3950" w:rsidRPr="00631C1B" w:rsidRDefault="00E07330" w:rsidP="00200578">
            <w:pPr>
              <w:rPr>
                <w:rFonts w:cs="Arial"/>
              </w:rPr>
            </w:pPr>
            <w:r>
              <w:rPr>
                <w:rFonts w:cs="Arial"/>
              </w:rPr>
              <w:t>£107,</w:t>
            </w:r>
            <w:r w:rsidR="009633F6">
              <w:rPr>
                <w:rFonts w:cs="Arial"/>
              </w:rPr>
              <w:t>700</w:t>
            </w:r>
          </w:p>
        </w:tc>
      </w:tr>
      <w:tr w:rsidR="00DE3950" w:rsidRPr="00631C1B" w14:paraId="0E4C3FB7" w14:textId="3D1AAA80" w:rsidTr="00C7166B">
        <w:trPr>
          <w:trHeight w:val="216"/>
        </w:trPr>
        <w:tc>
          <w:tcPr>
            <w:tcW w:w="3119" w:type="dxa"/>
          </w:tcPr>
          <w:p w14:paraId="14630705" w14:textId="44E05AF0" w:rsidR="00DE3950" w:rsidRPr="00631C1B" w:rsidRDefault="00DE3950" w:rsidP="00200578">
            <w:pPr>
              <w:rPr>
                <w:rFonts w:cs="Arial"/>
              </w:rPr>
            </w:pPr>
            <w:r w:rsidRPr="00631C1B">
              <w:rPr>
                <w:rFonts w:cs="Arial"/>
              </w:rPr>
              <w:t>YTAS</w:t>
            </w:r>
          </w:p>
        </w:tc>
        <w:tc>
          <w:tcPr>
            <w:tcW w:w="3118" w:type="dxa"/>
          </w:tcPr>
          <w:p w14:paraId="3610FA19" w14:textId="46922A0D" w:rsidR="00DE3950" w:rsidRPr="00631C1B" w:rsidRDefault="00DE3950" w:rsidP="00200578">
            <w:pPr>
              <w:rPr>
                <w:rFonts w:cs="Arial"/>
              </w:rPr>
            </w:pPr>
            <w:r w:rsidRPr="00631C1B">
              <w:rPr>
                <w:rFonts w:cs="Arial"/>
              </w:rPr>
              <w:t>New Territory</w:t>
            </w:r>
          </w:p>
        </w:tc>
        <w:tc>
          <w:tcPr>
            <w:tcW w:w="3969" w:type="dxa"/>
          </w:tcPr>
          <w:p w14:paraId="44575C29" w14:textId="3EDE6AAC" w:rsidR="00DE3950" w:rsidRPr="00631C1B" w:rsidRDefault="00DE3950" w:rsidP="00200578">
            <w:pPr>
              <w:rPr>
                <w:rFonts w:cs="Arial"/>
              </w:rPr>
            </w:pPr>
            <w:r w:rsidRPr="00631C1B">
              <w:rPr>
                <w:rFonts w:cs="Arial"/>
              </w:rPr>
              <w:t>Glasgow / Inverclyde / West Lothian / North Lanarkshire</w:t>
            </w:r>
          </w:p>
        </w:tc>
        <w:tc>
          <w:tcPr>
            <w:tcW w:w="2268" w:type="dxa"/>
          </w:tcPr>
          <w:p w14:paraId="5DADE577" w14:textId="5D88277A" w:rsidR="00DE3950" w:rsidRPr="00631C1B" w:rsidRDefault="0016702F" w:rsidP="00200578">
            <w:pPr>
              <w:rPr>
                <w:rFonts w:cs="Arial"/>
              </w:rPr>
            </w:pPr>
            <w:r>
              <w:rPr>
                <w:rFonts w:cs="Arial"/>
              </w:rPr>
              <w:t>£</w:t>
            </w:r>
            <w:r w:rsidR="005B6896">
              <w:rPr>
                <w:rFonts w:cs="Arial"/>
              </w:rPr>
              <w:t>40,080</w:t>
            </w:r>
          </w:p>
        </w:tc>
        <w:tc>
          <w:tcPr>
            <w:tcW w:w="2436" w:type="dxa"/>
          </w:tcPr>
          <w:p w14:paraId="430BB8A8" w14:textId="576231D4" w:rsidR="00DE3950" w:rsidRPr="00631C1B" w:rsidRDefault="0016702F" w:rsidP="00200578">
            <w:pPr>
              <w:rPr>
                <w:rFonts w:cs="Arial"/>
              </w:rPr>
            </w:pPr>
            <w:r>
              <w:rPr>
                <w:rFonts w:cs="Arial"/>
              </w:rPr>
              <w:t>£120,000</w:t>
            </w:r>
          </w:p>
        </w:tc>
      </w:tr>
      <w:tr w:rsidR="00DE3950" w:rsidRPr="00631C1B" w14:paraId="248684C3" w14:textId="2AD73773" w:rsidTr="00C7166B">
        <w:trPr>
          <w:trHeight w:val="216"/>
        </w:trPr>
        <w:tc>
          <w:tcPr>
            <w:tcW w:w="3119" w:type="dxa"/>
          </w:tcPr>
          <w:p w14:paraId="4EB20362" w14:textId="78035A0C" w:rsidR="00DE3950" w:rsidRPr="00631C1B" w:rsidRDefault="00DE3950" w:rsidP="00200578">
            <w:pPr>
              <w:rPr>
                <w:rFonts w:cs="Arial"/>
              </w:rPr>
            </w:pPr>
            <w:proofErr w:type="spellStart"/>
            <w:r w:rsidRPr="00631C1B">
              <w:rPr>
                <w:rFonts w:cs="Arial"/>
              </w:rPr>
              <w:t>Ysort</w:t>
            </w:r>
            <w:proofErr w:type="spellEnd"/>
            <w:r w:rsidRPr="00631C1B">
              <w:rPr>
                <w:rFonts w:cs="Arial"/>
              </w:rPr>
              <w:t xml:space="preserve"> it</w:t>
            </w:r>
          </w:p>
        </w:tc>
        <w:tc>
          <w:tcPr>
            <w:tcW w:w="3118" w:type="dxa"/>
          </w:tcPr>
          <w:p w14:paraId="1E38A5EA" w14:textId="4669D4DD" w:rsidR="00DE3950" w:rsidRPr="00631C1B" w:rsidRDefault="00DE3950" w:rsidP="00200578">
            <w:pPr>
              <w:rPr>
                <w:rFonts w:cs="Arial"/>
              </w:rPr>
            </w:pPr>
            <w:proofErr w:type="spellStart"/>
            <w:r w:rsidRPr="00631C1B">
              <w:rPr>
                <w:rFonts w:cs="Arial"/>
              </w:rPr>
              <w:t>CreActive</w:t>
            </w:r>
            <w:proofErr w:type="spellEnd"/>
            <w:r w:rsidRPr="00631C1B">
              <w:rPr>
                <w:rFonts w:cs="Arial"/>
              </w:rPr>
              <w:t xml:space="preserve"> Street Art </w:t>
            </w:r>
          </w:p>
        </w:tc>
        <w:tc>
          <w:tcPr>
            <w:tcW w:w="3969" w:type="dxa"/>
          </w:tcPr>
          <w:p w14:paraId="7E41B747" w14:textId="665100E4" w:rsidR="00DE3950" w:rsidRPr="00631C1B" w:rsidRDefault="00DE3950" w:rsidP="00200578">
            <w:pPr>
              <w:rPr>
                <w:rFonts w:cs="Arial"/>
                <w:b/>
              </w:rPr>
            </w:pPr>
            <w:r w:rsidRPr="00631C1B">
              <w:rPr>
                <w:rFonts w:cs="Arial"/>
              </w:rPr>
              <w:t>West Dunbartonshire</w:t>
            </w:r>
          </w:p>
        </w:tc>
        <w:tc>
          <w:tcPr>
            <w:tcW w:w="2268" w:type="dxa"/>
          </w:tcPr>
          <w:p w14:paraId="49BED732" w14:textId="1AE5634A" w:rsidR="00DE3950" w:rsidRPr="00631C1B" w:rsidRDefault="00351C64" w:rsidP="00200578">
            <w:pPr>
              <w:rPr>
                <w:rFonts w:cs="Arial"/>
              </w:rPr>
            </w:pPr>
            <w:r>
              <w:rPr>
                <w:rFonts w:cs="Arial"/>
              </w:rPr>
              <w:t>£40,012</w:t>
            </w:r>
          </w:p>
        </w:tc>
        <w:tc>
          <w:tcPr>
            <w:tcW w:w="2436" w:type="dxa"/>
          </w:tcPr>
          <w:p w14:paraId="1D76F5A5" w14:textId="1C9D0CE8" w:rsidR="00DE3950" w:rsidRPr="00631C1B" w:rsidRDefault="00351C64" w:rsidP="00200578">
            <w:pPr>
              <w:rPr>
                <w:rFonts w:cs="Arial"/>
              </w:rPr>
            </w:pPr>
            <w:r>
              <w:rPr>
                <w:rFonts w:cs="Arial"/>
              </w:rPr>
              <w:t>£40,012</w:t>
            </w:r>
          </w:p>
        </w:tc>
      </w:tr>
      <w:tr w:rsidR="00DE3950" w:rsidRPr="00631C1B" w14:paraId="6A1B2690" w14:textId="656535C3" w:rsidTr="00C7166B">
        <w:trPr>
          <w:trHeight w:val="216"/>
        </w:trPr>
        <w:tc>
          <w:tcPr>
            <w:tcW w:w="3119" w:type="dxa"/>
          </w:tcPr>
          <w:p w14:paraId="175FE87A" w14:textId="786E3FAE" w:rsidR="00DE3950" w:rsidRPr="00631C1B" w:rsidRDefault="00DE3950" w:rsidP="00200578">
            <w:pPr>
              <w:rPr>
                <w:rFonts w:cs="Arial"/>
              </w:rPr>
            </w:pPr>
            <w:proofErr w:type="spellStart"/>
            <w:r w:rsidRPr="00631C1B">
              <w:rPr>
                <w:rFonts w:cs="Arial"/>
              </w:rPr>
              <w:t>Dancebase</w:t>
            </w:r>
            <w:proofErr w:type="spellEnd"/>
          </w:p>
        </w:tc>
        <w:tc>
          <w:tcPr>
            <w:tcW w:w="3118" w:type="dxa"/>
          </w:tcPr>
          <w:p w14:paraId="55665E65" w14:textId="77777777" w:rsidR="00DE3950" w:rsidRPr="00631C1B" w:rsidRDefault="00DE3950" w:rsidP="00200578">
            <w:pPr>
              <w:rPr>
                <w:rFonts w:cs="Arial"/>
              </w:rPr>
            </w:pPr>
          </w:p>
        </w:tc>
        <w:tc>
          <w:tcPr>
            <w:tcW w:w="3969" w:type="dxa"/>
          </w:tcPr>
          <w:p w14:paraId="53402CDF" w14:textId="3228EF5F" w:rsidR="00DE3950" w:rsidRPr="00631C1B" w:rsidRDefault="00DE3950" w:rsidP="00200578">
            <w:pPr>
              <w:rPr>
                <w:rFonts w:cs="Arial"/>
              </w:rPr>
            </w:pPr>
            <w:r w:rsidRPr="00631C1B">
              <w:rPr>
                <w:rFonts w:cs="Arial"/>
              </w:rPr>
              <w:t>Edinburgh</w:t>
            </w:r>
          </w:p>
        </w:tc>
        <w:tc>
          <w:tcPr>
            <w:tcW w:w="2268" w:type="dxa"/>
          </w:tcPr>
          <w:p w14:paraId="60063B3B" w14:textId="09E38C92" w:rsidR="00DE3950" w:rsidRPr="00631C1B" w:rsidRDefault="00C748B3" w:rsidP="00200578">
            <w:pPr>
              <w:rPr>
                <w:rFonts w:cs="Arial"/>
              </w:rPr>
            </w:pPr>
            <w:r w:rsidRPr="00631C1B">
              <w:rPr>
                <w:rFonts w:cs="Arial"/>
              </w:rPr>
              <w:t>Took part in Year 1 and 2 only</w:t>
            </w:r>
          </w:p>
        </w:tc>
        <w:tc>
          <w:tcPr>
            <w:tcW w:w="2436" w:type="dxa"/>
          </w:tcPr>
          <w:p w14:paraId="76CC74B8" w14:textId="3B7229E7" w:rsidR="00DE3950" w:rsidRPr="00631C1B" w:rsidRDefault="004206E8" w:rsidP="00200578">
            <w:pPr>
              <w:rPr>
                <w:rFonts w:cs="Arial"/>
              </w:rPr>
            </w:pPr>
            <w:r>
              <w:rPr>
                <w:rFonts w:cs="Arial"/>
              </w:rPr>
              <w:t>£39,653</w:t>
            </w:r>
          </w:p>
        </w:tc>
      </w:tr>
      <w:tr w:rsidR="00DE3950" w:rsidRPr="00631C1B" w14:paraId="77447AE3" w14:textId="186DD74B" w:rsidTr="00C7166B">
        <w:trPr>
          <w:trHeight w:val="216"/>
        </w:trPr>
        <w:tc>
          <w:tcPr>
            <w:tcW w:w="3119" w:type="dxa"/>
          </w:tcPr>
          <w:p w14:paraId="465A880B" w14:textId="77777777" w:rsidR="00DE3950" w:rsidRPr="00631C1B" w:rsidRDefault="00DE3950" w:rsidP="0025114B">
            <w:pPr>
              <w:rPr>
                <w:rFonts w:cs="Arial"/>
              </w:rPr>
            </w:pPr>
          </w:p>
        </w:tc>
        <w:tc>
          <w:tcPr>
            <w:tcW w:w="3118" w:type="dxa"/>
          </w:tcPr>
          <w:p w14:paraId="1A21EAD6" w14:textId="77777777" w:rsidR="00DE3950" w:rsidRPr="00631C1B" w:rsidRDefault="00DE3950" w:rsidP="0025114B">
            <w:pPr>
              <w:rPr>
                <w:rFonts w:cs="Arial"/>
              </w:rPr>
            </w:pPr>
          </w:p>
        </w:tc>
        <w:tc>
          <w:tcPr>
            <w:tcW w:w="3969" w:type="dxa"/>
          </w:tcPr>
          <w:p w14:paraId="223AC93E" w14:textId="13ED5D5F" w:rsidR="00DE3950" w:rsidRPr="00631C1B" w:rsidRDefault="00DE3950" w:rsidP="0025114B">
            <w:pPr>
              <w:rPr>
                <w:rFonts w:cs="Arial"/>
                <w:b/>
              </w:rPr>
            </w:pPr>
            <w:r w:rsidRPr="00631C1B">
              <w:rPr>
                <w:rFonts w:cs="Arial"/>
                <w:b/>
              </w:rPr>
              <w:t>TOTAL</w:t>
            </w:r>
          </w:p>
        </w:tc>
        <w:tc>
          <w:tcPr>
            <w:tcW w:w="2268" w:type="dxa"/>
          </w:tcPr>
          <w:p w14:paraId="44471D86" w14:textId="04D7744E" w:rsidR="00DE3950" w:rsidRPr="00631C1B" w:rsidRDefault="00A5662B" w:rsidP="0025114B">
            <w:pPr>
              <w:rPr>
                <w:rFonts w:cs="Arial"/>
                <w:b/>
              </w:rPr>
            </w:pPr>
            <w:r>
              <w:rPr>
                <w:rFonts w:cs="Arial"/>
                <w:b/>
              </w:rPr>
              <w:t>£517,701</w:t>
            </w:r>
          </w:p>
        </w:tc>
        <w:tc>
          <w:tcPr>
            <w:tcW w:w="2436" w:type="dxa"/>
          </w:tcPr>
          <w:p w14:paraId="48E90D5F" w14:textId="37A980EB" w:rsidR="00DE3950" w:rsidRPr="00631C1B" w:rsidRDefault="00DE4092" w:rsidP="0025114B">
            <w:pPr>
              <w:rPr>
                <w:rFonts w:cs="Arial"/>
                <w:b/>
              </w:rPr>
            </w:pPr>
            <w:r>
              <w:rPr>
                <w:rFonts w:cs="Arial"/>
                <w:b/>
              </w:rPr>
              <w:t>£1,</w:t>
            </w:r>
            <w:r w:rsidR="00F102D9">
              <w:rPr>
                <w:rFonts w:cs="Arial"/>
                <w:b/>
              </w:rPr>
              <w:t>393,384</w:t>
            </w:r>
          </w:p>
        </w:tc>
      </w:tr>
    </w:tbl>
    <w:p w14:paraId="135050EB" w14:textId="695536E0" w:rsidR="00102B25" w:rsidRPr="00631C1B" w:rsidRDefault="00102B25" w:rsidP="00C60550">
      <w:pPr>
        <w:pStyle w:val="Source"/>
        <w:sectPr w:rsidR="00102B25" w:rsidRPr="00631C1B" w:rsidSect="00102B25">
          <w:type w:val="continuous"/>
          <w:pgSz w:w="16838" w:h="11906" w:orient="landscape"/>
          <w:pgMar w:top="1440" w:right="964" w:bottom="1440" w:left="964" w:header="709" w:footer="709" w:gutter="0"/>
          <w:cols w:space="708"/>
          <w:docGrid w:linePitch="360"/>
        </w:sectPr>
      </w:pPr>
      <w:r w:rsidRPr="00631C1B">
        <w:t>Source: Creative Scotland</w:t>
      </w:r>
      <w:r w:rsidR="00C60550" w:rsidRPr="00631C1B">
        <w:t xml:space="preserve"> (2020)</w:t>
      </w:r>
    </w:p>
    <w:p w14:paraId="629AA9EF" w14:textId="532ED63C" w:rsidR="00FE6DDF" w:rsidRPr="00631C1B" w:rsidRDefault="00D71274">
      <w:r w:rsidRPr="00631C1B">
        <w:br w:type="page"/>
      </w:r>
    </w:p>
    <w:p w14:paraId="1261B168" w14:textId="5D19628C" w:rsidR="008C308A" w:rsidRPr="00631C1B" w:rsidRDefault="008C308A" w:rsidP="008C308A">
      <w:pPr>
        <w:pStyle w:val="Caption"/>
      </w:pPr>
      <w:bookmarkStart w:id="57" w:name="_Toc42266757"/>
      <w:r w:rsidRPr="00631C1B">
        <w:lastRenderedPageBreak/>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22</w:t>
      </w:r>
      <w:r w:rsidRPr="00631C1B">
        <w:rPr>
          <w:noProof/>
        </w:rPr>
        <w:fldChar w:fldCharType="end"/>
      </w:r>
      <w:r w:rsidRPr="00631C1B">
        <w:t xml:space="preserve">  </w:t>
      </w:r>
      <w:proofErr w:type="spellStart"/>
      <w:r w:rsidR="00281FAF" w:rsidRPr="00631C1B">
        <w:t>CashBack</w:t>
      </w:r>
      <w:proofErr w:type="spellEnd"/>
      <w:r w:rsidRPr="00631C1B">
        <w:t xml:space="preserve"> for Creativity Targeted Fund organisations – spend by Local Authority</w:t>
      </w:r>
      <w:r w:rsidR="00570F62" w:rsidRPr="00631C1B">
        <w:t xml:space="preserve"> (Year 3)</w:t>
      </w:r>
      <w:bookmarkEnd w:id="57"/>
    </w:p>
    <w:tbl>
      <w:tblPr>
        <w:tblStyle w:val="BOPtable"/>
        <w:tblW w:w="0" w:type="auto"/>
        <w:tblLook w:val="04A0" w:firstRow="1" w:lastRow="0" w:firstColumn="1" w:lastColumn="0" w:noHBand="0" w:noVBand="1"/>
      </w:tblPr>
      <w:tblGrid>
        <w:gridCol w:w="4403"/>
        <w:gridCol w:w="3723"/>
        <w:gridCol w:w="3514"/>
        <w:gridCol w:w="3046"/>
      </w:tblGrid>
      <w:tr w:rsidR="008C308A" w:rsidRPr="00631C1B" w14:paraId="4DF91BA4" w14:textId="77777777" w:rsidTr="00570F62">
        <w:trPr>
          <w:cnfStyle w:val="100000000000" w:firstRow="1" w:lastRow="0" w:firstColumn="0" w:lastColumn="0" w:oddVBand="0" w:evenVBand="0" w:oddHBand="0" w:evenHBand="0" w:firstRowFirstColumn="0" w:firstRowLastColumn="0" w:lastRowFirstColumn="0" w:lastRowLastColumn="0"/>
          <w:trHeight w:val="209"/>
        </w:trPr>
        <w:tc>
          <w:tcPr>
            <w:tcW w:w="4403" w:type="dxa"/>
          </w:tcPr>
          <w:p w14:paraId="48DFA518" w14:textId="77777777" w:rsidR="008C308A" w:rsidRPr="00631C1B" w:rsidRDefault="008C308A" w:rsidP="009A3F2B">
            <w:r w:rsidRPr="00631C1B">
              <w:t>Local Authority</w:t>
            </w:r>
          </w:p>
        </w:tc>
        <w:tc>
          <w:tcPr>
            <w:tcW w:w="3723" w:type="dxa"/>
          </w:tcPr>
          <w:p w14:paraId="46CD5A0B" w14:textId="77777777" w:rsidR="008C308A" w:rsidRPr="00631C1B" w:rsidRDefault="008C308A" w:rsidP="009A3F2B">
            <w:r w:rsidRPr="00631C1B">
              <w:t>No. of organisations funded</w:t>
            </w:r>
          </w:p>
        </w:tc>
        <w:tc>
          <w:tcPr>
            <w:tcW w:w="3514" w:type="dxa"/>
          </w:tcPr>
          <w:p w14:paraId="4F04270B" w14:textId="77777777" w:rsidR="008C308A" w:rsidRPr="00631C1B" w:rsidRDefault="008C308A" w:rsidP="009A3F2B">
            <w:r w:rsidRPr="00631C1B">
              <w:t>Total Actual spend</w:t>
            </w:r>
          </w:p>
        </w:tc>
        <w:tc>
          <w:tcPr>
            <w:tcW w:w="3046" w:type="dxa"/>
          </w:tcPr>
          <w:p w14:paraId="6D5AC309" w14:textId="77777777" w:rsidR="008C308A" w:rsidRPr="00631C1B" w:rsidRDefault="008C308A" w:rsidP="009A3F2B">
            <w:r w:rsidRPr="00631C1B">
              <w:t>Average Actual Spend</w:t>
            </w:r>
          </w:p>
        </w:tc>
      </w:tr>
      <w:tr w:rsidR="00570F62" w:rsidRPr="00631C1B" w14:paraId="1F78E068" w14:textId="77777777" w:rsidTr="00570F62">
        <w:trPr>
          <w:trHeight w:val="193"/>
        </w:trPr>
        <w:tc>
          <w:tcPr>
            <w:tcW w:w="4403" w:type="dxa"/>
          </w:tcPr>
          <w:p w14:paraId="68A647A7" w14:textId="3105F4F7" w:rsidR="00570F62" w:rsidRPr="00631C1B" w:rsidRDefault="00570F62" w:rsidP="00570F62">
            <w:r w:rsidRPr="00631C1B">
              <w:t>Aberdeen City</w:t>
            </w:r>
          </w:p>
        </w:tc>
        <w:tc>
          <w:tcPr>
            <w:tcW w:w="3723" w:type="dxa"/>
          </w:tcPr>
          <w:p w14:paraId="4E17D325" w14:textId="4A0AAF65" w:rsidR="00570F62" w:rsidRPr="00631C1B" w:rsidRDefault="00464C15" w:rsidP="00570F62">
            <w:r w:rsidRPr="00631C1B">
              <w:t>2</w:t>
            </w:r>
          </w:p>
        </w:tc>
        <w:tc>
          <w:tcPr>
            <w:tcW w:w="3514" w:type="dxa"/>
          </w:tcPr>
          <w:p w14:paraId="030C077D" w14:textId="749141E4" w:rsidR="00570F62" w:rsidRPr="00631C1B" w:rsidRDefault="00CE0B37" w:rsidP="00570F62">
            <w:r>
              <w:t>£71,964</w:t>
            </w:r>
          </w:p>
        </w:tc>
        <w:tc>
          <w:tcPr>
            <w:tcW w:w="3046" w:type="dxa"/>
          </w:tcPr>
          <w:p w14:paraId="7F88001A" w14:textId="6C5C7452" w:rsidR="00570F62" w:rsidRPr="00631C1B" w:rsidRDefault="00E425D1" w:rsidP="00570F62">
            <w:r>
              <w:t>£35,982</w:t>
            </w:r>
          </w:p>
        </w:tc>
      </w:tr>
      <w:tr w:rsidR="00570F62" w:rsidRPr="00631C1B" w14:paraId="093B464D" w14:textId="77777777" w:rsidTr="00570F62">
        <w:trPr>
          <w:trHeight w:val="209"/>
        </w:trPr>
        <w:tc>
          <w:tcPr>
            <w:tcW w:w="4403" w:type="dxa"/>
          </w:tcPr>
          <w:p w14:paraId="7B45C307" w14:textId="4E6097EE" w:rsidR="00570F62" w:rsidRPr="00631C1B" w:rsidRDefault="00570F62" w:rsidP="00570F62">
            <w:r w:rsidRPr="00631C1B">
              <w:t>Dumfries &amp; Galloway</w:t>
            </w:r>
          </w:p>
        </w:tc>
        <w:tc>
          <w:tcPr>
            <w:tcW w:w="3723" w:type="dxa"/>
          </w:tcPr>
          <w:p w14:paraId="3E57EE29" w14:textId="7973D816" w:rsidR="00570F62" w:rsidRPr="00631C1B" w:rsidRDefault="00570F62" w:rsidP="00570F62">
            <w:r w:rsidRPr="00631C1B">
              <w:t>1</w:t>
            </w:r>
          </w:p>
        </w:tc>
        <w:tc>
          <w:tcPr>
            <w:tcW w:w="3514" w:type="dxa"/>
          </w:tcPr>
          <w:p w14:paraId="4E58763B" w14:textId="41152A03" w:rsidR="00570F62" w:rsidRPr="00631C1B" w:rsidRDefault="00E425D1" w:rsidP="00570F62">
            <w:r>
              <w:t>£34,252</w:t>
            </w:r>
          </w:p>
        </w:tc>
        <w:tc>
          <w:tcPr>
            <w:tcW w:w="3046" w:type="dxa"/>
          </w:tcPr>
          <w:p w14:paraId="32BC9F62" w14:textId="7049175D" w:rsidR="00570F62" w:rsidRPr="00631C1B" w:rsidRDefault="00DA6D3A" w:rsidP="00570F62">
            <w:r>
              <w:t>£34,252</w:t>
            </w:r>
          </w:p>
        </w:tc>
      </w:tr>
      <w:tr w:rsidR="00570F62" w:rsidRPr="00631C1B" w14:paraId="6A71474A" w14:textId="77777777" w:rsidTr="00570F62">
        <w:trPr>
          <w:trHeight w:val="193"/>
        </w:trPr>
        <w:tc>
          <w:tcPr>
            <w:tcW w:w="4403" w:type="dxa"/>
          </w:tcPr>
          <w:p w14:paraId="4204A754" w14:textId="33E96464" w:rsidR="00570F62" w:rsidRPr="00631C1B" w:rsidRDefault="00570F62" w:rsidP="00570F62">
            <w:r w:rsidRPr="00631C1B">
              <w:t>Dundee City</w:t>
            </w:r>
          </w:p>
        </w:tc>
        <w:tc>
          <w:tcPr>
            <w:tcW w:w="3723" w:type="dxa"/>
          </w:tcPr>
          <w:p w14:paraId="47941390" w14:textId="636195AF" w:rsidR="00570F62" w:rsidRPr="00631C1B" w:rsidRDefault="00570F62" w:rsidP="00570F62">
            <w:r w:rsidRPr="00631C1B">
              <w:t>1</w:t>
            </w:r>
          </w:p>
        </w:tc>
        <w:tc>
          <w:tcPr>
            <w:tcW w:w="3514" w:type="dxa"/>
          </w:tcPr>
          <w:p w14:paraId="16BF512F" w14:textId="4793B5BE" w:rsidR="00570F62" w:rsidRPr="00631C1B" w:rsidRDefault="00DA6D3A" w:rsidP="00570F62">
            <w:r>
              <w:t>£38,907</w:t>
            </w:r>
          </w:p>
        </w:tc>
        <w:tc>
          <w:tcPr>
            <w:tcW w:w="3046" w:type="dxa"/>
          </w:tcPr>
          <w:p w14:paraId="449A31B2" w14:textId="1BE8D0B1" w:rsidR="00570F62" w:rsidRPr="00631C1B" w:rsidRDefault="00DA6D3A" w:rsidP="00570F62">
            <w:r>
              <w:t>£38,907</w:t>
            </w:r>
          </w:p>
        </w:tc>
      </w:tr>
      <w:tr w:rsidR="00570F62" w:rsidRPr="00631C1B" w14:paraId="0B2A65AF" w14:textId="77777777" w:rsidTr="00570F62">
        <w:trPr>
          <w:trHeight w:val="193"/>
        </w:trPr>
        <w:tc>
          <w:tcPr>
            <w:tcW w:w="4403" w:type="dxa"/>
          </w:tcPr>
          <w:p w14:paraId="16C8C29E" w14:textId="4412D944" w:rsidR="00570F62" w:rsidRPr="00631C1B" w:rsidRDefault="00570F62" w:rsidP="00570F62">
            <w:r w:rsidRPr="00631C1B">
              <w:t>Edinburgh</w:t>
            </w:r>
          </w:p>
        </w:tc>
        <w:tc>
          <w:tcPr>
            <w:tcW w:w="3723" w:type="dxa"/>
          </w:tcPr>
          <w:p w14:paraId="2EDEEDFB" w14:textId="2B200DE2" w:rsidR="00570F62" w:rsidRPr="00631C1B" w:rsidRDefault="00294AD1" w:rsidP="00570F62">
            <w:r w:rsidRPr="00631C1B">
              <w:t>1</w:t>
            </w:r>
          </w:p>
        </w:tc>
        <w:tc>
          <w:tcPr>
            <w:tcW w:w="3514" w:type="dxa"/>
          </w:tcPr>
          <w:p w14:paraId="395C9412" w14:textId="59220160" w:rsidR="00570F62" w:rsidRPr="00631C1B" w:rsidRDefault="00DA6D3A" w:rsidP="00570F62">
            <w:r>
              <w:t>£40,080</w:t>
            </w:r>
          </w:p>
        </w:tc>
        <w:tc>
          <w:tcPr>
            <w:tcW w:w="3046" w:type="dxa"/>
          </w:tcPr>
          <w:p w14:paraId="2FA940DF" w14:textId="380C6733" w:rsidR="00570F62" w:rsidRPr="00631C1B" w:rsidRDefault="00DA6D3A" w:rsidP="00570F62">
            <w:r>
              <w:t>£</w:t>
            </w:r>
            <w:r w:rsidR="00CB6CE7">
              <w:t>40,080</w:t>
            </w:r>
          </w:p>
        </w:tc>
      </w:tr>
      <w:tr w:rsidR="00570F62" w:rsidRPr="00631C1B" w14:paraId="5B8EBBA3" w14:textId="77777777" w:rsidTr="00570F62">
        <w:trPr>
          <w:trHeight w:val="193"/>
        </w:trPr>
        <w:tc>
          <w:tcPr>
            <w:tcW w:w="4403" w:type="dxa"/>
          </w:tcPr>
          <w:p w14:paraId="748BA6AA" w14:textId="21FAC94D" w:rsidR="00570F62" w:rsidRPr="00631C1B" w:rsidRDefault="00570F62" w:rsidP="00570F62">
            <w:r w:rsidRPr="00631C1B">
              <w:t>Falkirk/North Ayrshire</w:t>
            </w:r>
          </w:p>
        </w:tc>
        <w:tc>
          <w:tcPr>
            <w:tcW w:w="3723" w:type="dxa"/>
          </w:tcPr>
          <w:p w14:paraId="2C85BB86" w14:textId="0552A385" w:rsidR="00570F62" w:rsidRPr="00631C1B" w:rsidRDefault="00570F62" w:rsidP="00570F62">
            <w:r w:rsidRPr="00631C1B">
              <w:t>1</w:t>
            </w:r>
          </w:p>
        </w:tc>
        <w:tc>
          <w:tcPr>
            <w:tcW w:w="3514" w:type="dxa"/>
          </w:tcPr>
          <w:p w14:paraId="2177CF96" w14:textId="39E11DB0" w:rsidR="00570F62" w:rsidRPr="00631C1B" w:rsidRDefault="00CB6CE7" w:rsidP="00570F62">
            <w:r>
              <w:t>£</w:t>
            </w:r>
            <w:r w:rsidR="004303A0">
              <w:t>35,972</w:t>
            </w:r>
          </w:p>
        </w:tc>
        <w:tc>
          <w:tcPr>
            <w:tcW w:w="3046" w:type="dxa"/>
          </w:tcPr>
          <w:p w14:paraId="0C63610C" w14:textId="63410661" w:rsidR="00570F62" w:rsidRPr="00631C1B" w:rsidRDefault="00CB6CE7" w:rsidP="00570F62">
            <w:r>
              <w:t>£</w:t>
            </w:r>
            <w:r w:rsidR="004303A0">
              <w:t>35,972</w:t>
            </w:r>
          </w:p>
        </w:tc>
      </w:tr>
      <w:tr w:rsidR="00570F62" w:rsidRPr="00631C1B" w14:paraId="1C3DC09F" w14:textId="77777777" w:rsidTr="00570F62">
        <w:trPr>
          <w:trHeight w:val="193"/>
        </w:trPr>
        <w:tc>
          <w:tcPr>
            <w:tcW w:w="4403" w:type="dxa"/>
          </w:tcPr>
          <w:p w14:paraId="0DC1317D" w14:textId="57D3E11C" w:rsidR="00570F62" w:rsidRPr="00631C1B" w:rsidRDefault="00570F62" w:rsidP="00570F62">
            <w:r w:rsidRPr="00631C1B">
              <w:t>Glasgow</w:t>
            </w:r>
          </w:p>
        </w:tc>
        <w:tc>
          <w:tcPr>
            <w:tcW w:w="3723" w:type="dxa"/>
          </w:tcPr>
          <w:p w14:paraId="479430A6" w14:textId="189552E8" w:rsidR="00570F62" w:rsidRPr="00631C1B" w:rsidRDefault="00570F62" w:rsidP="00570F62">
            <w:r w:rsidRPr="00631C1B">
              <w:t>3</w:t>
            </w:r>
          </w:p>
        </w:tc>
        <w:tc>
          <w:tcPr>
            <w:tcW w:w="3514" w:type="dxa"/>
          </w:tcPr>
          <w:p w14:paraId="1B1B188A" w14:textId="193122E5" w:rsidR="00570F62" w:rsidRPr="00631C1B" w:rsidRDefault="00CB6CE7" w:rsidP="00570F62">
            <w:r>
              <w:t>£</w:t>
            </w:r>
            <w:r w:rsidR="007C0A89">
              <w:t>75,336</w:t>
            </w:r>
          </w:p>
        </w:tc>
        <w:tc>
          <w:tcPr>
            <w:tcW w:w="3046" w:type="dxa"/>
          </w:tcPr>
          <w:p w14:paraId="79891D80" w14:textId="457AE0D9" w:rsidR="00570F62" w:rsidRPr="00631C1B" w:rsidRDefault="006128CF" w:rsidP="00570F62">
            <w:r>
              <w:t>£</w:t>
            </w:r>
            <w:r w:rsidR="00512F45">
              <w:t>25,112</w:t>
            </w:r>
          </w:p>
        </w:tc>
      </w:tr>
      <w:tr w:rsidR="00570F62" w:rsidRPr="00631C1B" w14:paraId="1A89FF41" w14:textId="77777777" w:rsidTr="00570F62">
        <w:trPr>
          <w:trHeight w:val="193"/>
        </w:trPr>
        <w:tc>
          <w:tcPr>
            <w:tcW w:w="4403" w:type="dxa"/>
          </w:tcPr>
          <w:p w14:paraId="081356D4" w14:textId="3DA9B9C8" w:rsidR="00570F62" w:rsidRPr="00631C1B" w:rsidRDefault="00570F62" w:rsidP="00570F62">
            <w:r w:rsidRPr="00631C1B">
              <w:t>Glasgow / Inverclyde / West Lothian / North Lanarkshire</w:t>
            </w:r>
          </w:p>
        </w:tc>
        <w:tc>
          <w:tcPr>
            <w:tcW w:w="3723" w:type="dxa"/>
          </w:tcPr>
          <w:p w14:paraId="68F6A5EE" w14:textId="429CA156" w:rsidR="00570F62" w:rsidRPr="00631C1B" w:rsidRDefault="00570F62" w:rsidP="00570F62">
            <w:r w:rsidRPr="00631C1B">
              <w:t>1</w:t>
            </w:r>
          </w:p>
        </w:tc>
        <w:tc>
          <w:tcPr>
            <w:tcW w:w="3514" w:type="dxa"/>
          </w:tcPr>
          <w:p w14:paraId="59488E06" w14:textId="57BA4C3D" w:rsidR="00570F62" w:rsidRPr="00631C1B" w:rsidRDefault="006128CF" w:rsidP="00570F62">
            <w:r>
              <w:t>£40,080</w:t>
            </w:r>
          </w:p>
        </w:tc>
        <w:tc>
          <w:tcPr>
            <w:tcW w:w="3046" w:type="dxa"/>
          </w:tcPr>
          <w:p w14:paraId="4F7D71F7" w14:textId="1B3CC047" w:rsidR="00570F62" w:rsidRPr="00631C1B" w:rsidRDefault="006128CF" w:rsidP="00570F62">
            <w:r>
              <w:t>£40,080</w:t>
            </w:r>
          </w:p>
        </w:tc>
      </w:tr>
      <w:tr w:rsidR="00570F62" w:rsidRPr="00631C1B" w14:paraId="46C97859" w14:textId="77777777" w:rsidTr="00570F62">
        <w:trPr>
          <w:trHeight w:val="193"/>
        </w:trPr>
        <w:tc>
          <w:tcPr>
            <w:tcW w:w="4403" w:type="dxa"/>
          </w:tcPr>
          <w:p w14:paraId="3B121105" w14:textId="147A9BC2" w:rsidR="00570F62" w:rsidRPr="00631C1B" w:rsidRDefault="00570F62" w:rsidP="00570F62">
            <w:r w:rsidRPr="00631C1B">
              <w:t>Highland / Moray</w:t>
            </w:r>
          </w:p>
        </w:tc>
        <w:tc>
          <w:tcPr>
            <w:tcW w:w="3723" w:type="dxa"/>
          </w:tcPr>
          <w:p w14:paraId="3F23AD54" w14:textId="51CB2645" w:rsidR="00570F62" w:rsidRPr="00631C1B" w:rsidRDefault="00570F62" w:rsidP="00570F62">
            <w:r w:rsidRPr="00631C1B">
              <w:t>1</w:t>
            </w:r>
          </w:p>
        </w:tc>
        <w:tc>
          <w:tcPr>
            <w:tcW w:w="3514" w:type="dxa"/>
          </w:tcPr>
          <w:p w14:paraId="56BD586A" w14:textId="0BD2A65D" w:rsidR="00570F62" w:rsidRPr="00631C1B" w:rsidRDefault="006128CF" w:rsidP="00570F62">
            <w:r>
              <w:t>£</w:t>
            </w:r>
            <w:r w:rsidR="004B3F69">
              <w:t>40,080</w:t>
            </w:r>
          </w:p>
        </w:tc>
        <w:tc>
          <w:tcPr>
            <w:tcW w:w="3046" w:type="dxa"/>
          </w:tcPr>
          <w:p w14:paraId="38F5BFBD" w14:textId="48AEE6E9" w:rsidR="00570F62" w:rsidRPr="00631C1B" w:rsidRDefault="004B3F69" w:rsidP="00570F62">
            <w:r>
              <w:t>£40,080</w:t>
            </w:r>
          </w:p>
        </w:tc>
      </w:tr>
      <w:tr w:rsidR="00570F62" w:rsidRPr="00631C1B" w14:paraId="10E90C91" w14:textId="77777777" w:rsidTr="00570F62">
        <w:trPr>
          <w:trHeight w:val="193"/>
        </w:trPr>
        <w:tc>
          <w:tcPr>
            <w:tcW w:w="4403" w:type="dxa"/>
          </w:tcPr>
          <w:p w14:paraId="3A1ABB22" w14:textId="6D008746" w:rsidR="00570F62" w:rsidRPr="00631C1B" w:rsidRDefault="00570F62" w:rsidP="00570F62">
            <w:r w:rsidRPr="00631C1B">
              <w:t>Moray</w:t>
            </w:r>
          </w:p>
        </w:tc>
        <w:tc>
          <w:tcPr>
            <w:tcW w:w="3723" w:type="dxa"/>
          </w:tcPr>
          <w:p w14:paraId="2E89E829" w14:textId="71959897" w:rsidR="00570F62" w:rsidRPr="00631C1B" w:rsidRDefault="00570F62" w:rsidP="00570F62">
            <w:r w:rsidRPr="00631C1B">
              <w:t>1</w:t>
            </w:r>
          </w:p>
        </w:tc>
        <w:tc>
          <w:tcPr>
            <w:tcW w:w="3514" w:type="dxa"/>
          </w:tcPr>
          <w:p w14:paraId="7B9C3A71" w14:textId="2408C63A" w:rsidR="00570F62" w:rsidRPr="00631C1B" w:rsidRDefault="004B3F69" w:rsidP="00570F62">
            <w:r>
              <w:rPr>
                <w:rFonts w:cs="Arial"/>
              </w:rPr>
              <w:t>£39,955</w:t>
            </w:r>
          </w:p>
        </w:tc>
        <w:tc>
          <w:tcPr>
            <w:tcW w:w="3046" w:type="dxa"/>
          </w:tcPr>
          <w:p w14:paraId="337B012E" w14:textId="7FA971CA" w:rsidR="00570F62" w:rsidRPr="00631C1B" w:rsidRDefault="004B3F69" w:rsidP="00570F62">
            <w:r>
              <w:rPr>
                <w:rFonts w:cs="Arial"/>
              </w:rPr>
              <w:t>£39,955</w:t>
            </w:r>
          </w:p>
        </w:tc>
      </w:tr>
      <w:tr w:rsidR="00570F62" w:rsidRPr="00631C1B" w14:paraId="2C57BD41" w14:textId="77777777" w:rsidTr="00570F62">
        <w:trPr>
          <w:trHeight w:val="193"/>
        </w:trPr>
        <w:tc>
          <w:tcPr>
            <w:tcW w:w="4403" w:type="dxa"/>
          </w:tcPr>
          <w:p w14:paraId="5793DBC2" w14:textId="1CC1751B" w:rsidR="00570F62" w:rsidRPr="00631C1B" w:rsidRDefault="00570F62" w:rsidP="00570F62">
            <w:r w:rsidRPr="00631C1B">
              <w:t>North Lanarkshire</w:t>
            </w:r>
          </w:p>
        </w:tc>
        <w:tc>
          <w:tcPr>
            <w:tcW w:w="3723" w:type="dxa"/>
          </w:tcPr>
          <w:p w14:paraId="5E628D72" w14:textId="43F29B7A" w:rsidR="00570F62" w:rsidRPr="00631C1B" w:rsidRDefault="00570F62" w:rsidP="00570F62">
            <w:r w:rsidRPr="00631C1B">
              <w:t>1</w:t>
            </w:r>
          </w:p>
        </w:tc>
        <w:tc>
          <w:tcPr>
            <w:tcW w:w="3514" w:type="dxa"/>
          </w:tcPr>
          <w:p w14:paraId="05D944CE" w14:textId="7ECA5F36" w:rsidR="00570F62" w:rsidRPr="00631C1B" w:rsidRDefault="004B3F69" w:rsidP="00570F62">
            <w:r>
              <w:t>£</w:t>
            </w:r>
            <w:r w:rsidR="00512F45">
              <w:t>22,319</w:t>
            </w:r>
          </w:p>
        </w:tc>
        <w:tc>
          <w:tcPr>
            <w:tcW w:w="3046" w:type="dxa"/>
          </w:tcPr>
          <w:p w14:paraId="7B314602" w14:textId="534640BC" w:rsidR="00502E54" w:rsidRPr="00631C1B" w:rsidRDefault="00502E54" w:rsidP="00570F62">
            <w:r>
              <w:t>£32,339</w:t>
            </w:r>
          </w:p>
        </w:tc>
      </w:tr>
      <w:tr w:rsidR="00570F62" w:rsidRPr="00631C1B" w14:paraId="2542942E" w14:textId="77777777" w:rsidTr="00570F62">
        <w:trPr>
          <w:trHeight w:val="193"/>
        </w:trPr>
        <w:tc>
          <w:tcPr>
            <w:tcW w:w="4403" w:type="dxa"/>
          </w:tcPr>
          <w:p w14:paraId="3D042A46" w14:textId="234DAE55" w:rsidR="00570F62" w:rsidRPr="00631C1B" w:rsidRDefault="00570F62" w:rsidP="00570F62">
            <w:r w:rsidRPr="00631C1B">
              <w:t>West Dunbartonshire</w:t>
            </w:r>
          </w:p>
        </w:tc>
        <w:tc>
          <w:tcPr>
            <w:tcW w:w="3723" w:type="dxa"/>
          </w:tcPr>
          <w:p w14:paraId="63D69A17" w14:textId="31CE873F" w:rsidR="00570F62" w:rsidRPr="00631C1B" w:rsidRDefault="00570F62" w:rsidP="00570F62">
            <w:r w:rsidRPr="00631C1B">
              <w:t>1</w:t>
            </w:r>
          </w:p>
        </w:tc>
        <w:tc>
          <w:tcPr>
            <w:tcW w:w="3514" w:type="dxa"/>
          </w:tcPr>
          <w:p w14:paraId="3AE25C51" w14:textId="07DDFF49" w:rsidR="00570F62" w:rsidRPr="00631C1B" w:rsidRDefault="00502E54" w:rsidP="00570F62">
            <w:r>
              <w:t>£40,012</w:t>
            </w:r>
          </w:p>
        </w:tc>
        <w:tc>
          <w:tcPr>
            <w:tcW w:w="3046" w:type="dxa"/>
          </w:tcPr>
          <w:p w14:paraId="18FC61DA" w14:textId="50DD4D74" w:rsidR="00570F62" w:rsidRPr="00631C1B" w:rsidRDefault="00502E54" w:rsidP="00570F62">
            <w:r>
              <w:t>£40,012</w:t>
            </w:r>
          </w:p>
        </w:tc>
      </w:tr>
      <w:tr w:rsidR="00570F62" w:rsidRPr="00631C1B" w14:paraId="794E4097" w14:textId="77777777" w:rsidTr="00570F62">
        <w:trPr>
          <w:trHeight w:val="193"/>
        </w:trPr>
        <w:tc>
          <w:tcPr>
            <w:tcW w:w="4403" w:type="dxa"/>
          </w:tcPr>
          <w:p w14:paraId="063B7418" w14:textId="22AA2656" w:rsidR="00570F62" w:rsidRPr="00631C1B" w:rsidRDefault="00570F62" w:rsidP="00570F62">
            <w:r w:rsidRPr="00631C1B">
              <w:t>West Lothian</w:t>
            </w:r>
          </w:p>
        </w:tc>
        <w:tc>
          <w:tcPr>
            <w:tcW w:w="3723" w:type="dxa"/>
          </w:tcPr>
          <w:p w14:paraId="31E165DB" w14:textId="0BFA15CF" w:rsidR="00570F62" w:rsidRPr="00631C1B" w:rsidRDefault="00570F62" w:rsidP="00570F62">
            <w:r w:rsidRPr="00631C1B">
              <w:t>1</w:t>
            </w:r>
          </w:p>
        </w:tc>
        <w:tc>
          <w:tcPr>
            <w:tcW w:w="3514" w:type="dxa"/>
          </w:tcPr>
          <w:p w14:paraId="2F0D51AF" w14:textId="2934E763" w:rsidR="00570F62" w:rsidRPr="00631C1B" w:rsidRDefault="00502E54" w:rsidP="00570F62">
            <w:r>
              <w:t>£38,744</w:t>
            </w:r>
          </w:p>
        </w:tc>
        <w:tc>
          <w:tcPr>
            <w:tcW w:w="3046" w:type="dxa"/>
          </w:tcPr>
          <w:p w14:paraId="2D037939" w14:textId="45F2BBEA" w:rsidR="00570F62" w:rsidRPr="00631C1B" w:rsidRDefault="00502E54" w:rsidP="00570F62">
            <w:r>
              <w:t>£38,744</w:t>
            </w:r>
          </w:p>
        </w:tc>
      </w:tr>
      <w:tr w:rsidR="008C308A" w:rsidRPr="00631C1B" w14:paraId="0CA5B52F" w14:textId="77777777" w:rsidTr="00570F62">
        <w:trPr>
          <w:trHeight w:val="193"/>
        </w:trPr>
        <w:tc>
          <w:tcPr>
            <w:tcW w:w="4403" w:type="dxa"/>
          </w:tcPr>
          <w:p w14:paraId="0A35E523" w14:textId="77777777" w:rsidR="008C308A" w:rsidRPr="00631C1B" w:rsidRDefault="008C308A" w:rsidP="009A3F2B">
            <w:pPr>
              <w:rPr>
                <w:b/>
                <w:bCs/>
              </w:rPr>
            </w:pPr>
            <w:r w:rsidRPr="00631C1B">
              <w:rPr>
                <w:b/>
                <w:bCs/>
              </w:rPr>
              <w:t>TOTAL</w:t>
            </w:r>
          </w:p>
        </w:tc>
        <w:tc>
          <w:tcPr>
            <w:tcW w:w="3723" w:type="dxa"/>
          </w:tcPr>
          <w:p w14:paraId="50A423CA" w14:textId="3F491CBB" w:rsidR="008C308A" w:rsidRPr="00AD0650" w:rsidRDefault="00570F62" w:rsidP="009A3F2B">
            <w:pPr>
              <w:rPr>
                <w:b/>
                <w:bCs/>
              </w:rPr>
            </w:pPr>
            <w:r w:rsidRPr="00AD0650">
              <w:rPr>
                <w:b/>
                <w:bCs/>
              </w:rPr>
              <w:t>1</w:t>
            </w:r>
            <w:r w:rsidR="00294AD1" w:rsidRPr="00AD0650">
              <w:rPr>
                <w:b/>
                <w:bCs/>
              </w:rPr>
              <w:t>5</w:t>
            </w:r>
          </w:p>
        </w:tc>
        <w:tc>
          <w:tcPr>
            <w:tcW w:w="3514" w:type="dxa"/>
          </w:tcPr>
          <w:p w14:paraId="43FDDF70" w14:textId="08B832E1" w:rsidR="008C308A" w:rsidRPr="00AD0650" w:rsidRDefault="00DE4092" w:rsidP="009A3F2B">
            <w:pPr>
              <w:rPr>
                <w:b/>
                <w:bCs/>
              </w:rPr>
            </w:pPr>
            <w:r w:rsidRPr="00AD0650">
              <w:rPr>
                <w:b/>
                <w:bCs/>
              </w:rPr>
              <w:t>£</w:t>
            </w:r>
            <w:r w:rsidR="00AD0650" w:rsidRPr="00AD0650">
              <w:rPr>
                <w:b/>
                <w:bCs/>
              </w:rPr>
              <w:t>517,701</w:t>
            </w:r>
          </w:p>
        </w:tc>
        <w:tc>
          <w:tcPr>
            <w:tcW w:w="3046" w:type="dxa"/>
          </w:tcPr>
          <w:p w14:paraId="7D71AA78" w14:textId="3411D4EC" w:rsidR="008C308A" w:rsidRPr="00631C1B" w:rsidRDefault="008C308A" w:rsidP="009A3F2B">
            <w:pPr>
              <w:rPr>
                <w:b/>
                <w:bCs/>
              </w:rPr>
            </w:pPr>
          </w:p>
        </w:tc>
      </w:tr>
    </w:tbl>
    <w:p w14:paraId="2F951508" w14:textId="77777777" w:rsidR="008C308A" w:rsidRPr="00631C1B" w:rsidRDefault="008C308A" w:rsidP="008C308A">
      <w:pPr>
        <w:pStyle w:val="Source"/>
        <w:sectPr w:rsidR="008C308A" w:rsidRPr="00631C1B" w:rsidSect="00102B25">
          <w:type w:val="continuous"/>
          <w:pgSz w:w="16838" w:h="11906" w:orient="landscape"/>
          <w:pgMar w:top="1440" w:right="964" w:bottom="1440" w:left="964" w:header="709" w:footer="709" w:gutter="0"/>
          <w:cols w:space="708"/>
          <w:docGrid w:linePitch="360"/>
        </w:sectPr>
      </w:pPr>
      <w:r w:rsidRPr="00631C1B">
        <w:t>Source: Creative Scotland (2020)</w:t>
      </w:r>
    </w:p>
    <w:p w14:paraId="43258B66" w14:textId="06286CE7" w:rsidR="008C308A" w:rsidRDefault="008C308A" w:rsidP="00FE6DDF">
      <w:pPr>
        <w:pStyle w:val="BodyText"/>
      </w:pPr>
    </w:p>
    <w:p w14:paraId="57E69AA8" w14:textId="44C7F679" w:rsidR="00C77F5C" w:rsidRDefault="00C77F5C" w:rsidP="00FE6DDF">
      <w:pPr>
        <w:pStyle w:val="BodyText"/>
      </w:pPr>
    </w:p>
    <w:p w14:paraId="464758D2" w14:textId="5BFD49F2" w:rsidR="00C77F5C" w:rsidRDefault="00C77F5C" w:rsidP="00FE6DDF">
      <w:pPr>
        <w:pStyle w:val="BodyText"/>
      </w:pPr>
    </w:p>
    <w:p w14:paraId="1F0AC273" w14:textId="64B4B723" w:rsidR="00C77F5C" w:rsidRDefault="00C77F5C" w:rsidP="00FE6DDF">
      <w:pPr>
        <w:pStyle w:val="BodyText"/>
      </w:pPr>
    </w:p>
    <w:p w14:paraId="03E2B26E" w14:textId="01BC20EB" w:rsidR="00C77F5C" w:rsidRDefault="00C77F5C" w:rsidP="00FE6DDF">
      <w:pPr>
        <w:pStyle w:val="BodyText"/>
      </w:pPr>
    </w:p>
    <w:p w14:paraId="294783A8" w14:textId="6CBBDEAB" w:rsidR="00C77F5C" w:rsidRDefault="00C77F5C" w:rsidP="00FE6DDF">
      <w:pPr>
        <w:pStyle w:val="BodyText"/>
      </w:pPr>
    </w:p>
    <w:p w14:paraId="7E5A31DD" w14:textId="07789F86" w:rsidR="00C77F5C" w:rsidRDefault="00C77F5C" w:rsidP="00FE6DDF">
      <w:pPr>
        <w:pStyle w:val="BodyText"/>
      </w:pPr>
    </w:p>
    <w:p w14:paraId="398C7C05" w14:textId="77777777" w:rsidR="00C77F5C" w:rsidRPr="00631C1B" w:rsidRDefault="00C77F5C" w:rsidP="00FE6DDF">
      <w:pPr>
        <w:pStyle w:val="BodyText"/>
      </w:pPr>
    </w:p>
    <w:p w14:paraId="4A3AF3CA" w14:textId="3CC9F81F" w:rsidR="00570F62" w:rsidRPr="00631C1B" w:rsidRDefault="00570F62" w:rsidP="00570F62">
      <w:pPr>
        <w:pStyle w:val="Caption"/>
      </w:pPr>
      <w:bookmarkStart w:id="58" w:name="_Toc42266758"/>
      <w:r w:rsidRPr="00631C1B">
        <w:lastRenderedPageBreak/>
        <w:t xml:space="preserve">Figure </w:t>
      </w:r>
      <w:r w:rsidRPr="00631C1B">
        <w:rPr>
          <w:noProof/>
        </w:rPr>
        <w:fldChar w:fldCharType="begin"/>
      </w:r>
      <w:r w:rsidRPr="00631C1B">
        <w:rPr>
          <w:noProof/>
        </w:rPr>
        <w:instrText xml:space="preserve"> SEQ Figure \* ARABIC </w:instrText>
      </w:r>
      <w:r w:rsidRPr="00631C1B">
        <w:rPr>
          <w:noProof/>
        </w:rPr>
        <w:fldChar w:fldCharType="separate"/>
      </w:r>
      <w:r w:rsidR="00F41487" w:rsidRPr="00631C1B">
        <w:rPr>
          <w:noProof/>
        </w:rPr>
        <w:t>23</w:t>
      </w:r>
      <w:r w:rsidRPr="00631C1B">
        <w:rPr>
          <w:noProof/>
        </w:rPr>
        <w:fldChar w:fldCharType="end"/>
      </w:r>
      <w:r w:rsidRPr="00631C1B">
        <w:t xml:space="preserve">  </w:t>
      </w:r>
      <w:proofErr w:type="spellStart"/>
      <w:r w:rsidR="00281FAF" w:rsidRPr="00631C1B">
        <w:t>CashBack</w:t>
      </w:r>
      <w:proofErr w:type="spellEnd"/>
      <w:r w:rsidRPr="00631C1B">
        <w:t xml:space="preserve"> for Creativity Targeted Fund organisations – spend by Local Authority (All years)</w:t>
      </w:r>
      <w:bookmarkEnd w:id="58"/>
    </w:p>
    <w:tbl>
      <w:tblPr>
        <w:tblStyle w:val="BOPtable"/>
        <w:tblW w:w="0" w:type="auto"/>
        <w:tblLook w:val="04A0" w:firstRow="1" w:lastRow="0" w:firstColumn="1" w:lastColumn="0" w:noHBand="0" w:noVBand="1"/>
      </w:tblPr>
      <w:tblGrid>
        <w:gridCol w:w="4403"/>
        <w:gridCol w:w="3723"/>
        <w:gridCol w:w="3514"/>
        <w:gridCol w:w="3046"/>
      </w:tblGrid>
      <w:tr w:rsidR="00570F62" w:rsidRPr="00631C1B" w14:paraId="75F9B6B6" w14:textId="77777777" w:rsidTr="009A3F2B">
        <w:trPr>
          <w:cnfStyle w:val="100000000000" w:firstRow="1" w:lastRow="0" w:firstColumn="0" w:lastColumn="0" w:oddVBand="0" w:evenVBand="0" w:oddHBand="0" w:evenHBand="0" w:firstRowFirstColumn="0" w:firstRowLastColumn="0" w:lastRowFirstColumn="0" w:lastRowLastColumn="0"/>
          <w:trHeight w:val="209"/>
        </w:trPr>
        <w:tc>
          <w:tcPr>
            <w:tcW w:w="4403" w:type="dxa"/>
          </w:tcPr>
          <w:p w14:paraId="52A76E3D" w14:textId="77777777" w:rsidR="00570F62" w:rsidRPr="00631C1B" w:rsidRDefault="00570F62" w:rsidP="009A3F2B">
            <w:r w:rsidRPr="00631C1B">
              <w:t>Local Authority</w:t>
            </w:r>
          </w:p>
        </w:tc>
        <w:tc>
          <w:tcPr>
            <w:tcW w:w="3723" w:type="dxa"/>
          </w:tcPr>
          <w:p w14:paraId="7C3CFC8A" w14:textId="77777777" w:rsidR="00570F62" w:rsidRPr="00631C1B" w:rsidRDefault="00570F62" w:rsidP="009A3F2B">
            <w:r w:rsidRPr="00631C1B">
              <w:t>No. of organisations funded</w:t>
            </w:r>
          </w:p>
        </w:tc>
        <w:tc>
          <w:tcPr>
            <w:tcW w:w="3514" w:type="dxa"/>
          </w:tcPr>
          <w:p w14:paraId="4AB126EE" w14:textId="77777777" w:rsidR="00570F62" w:rsidRPr="00631C1B" w:rsidRDefault="00570F62" w:rsidP="009A3F2B">
            <w:r w:rsidRPr="00631C1B">
              <w:t>Total Actual spend</w:t>
            </w:r>
          </w:p>
        </w:tc>
        <w:tc>
          <w:tcPr>
            <w:tcW w:w="3046" w:type="dxa"/>
          </w:tcPr>
          <w:p w14:paraId="092F486A" w14:textId="77777777" w:rsidR="00570F62" w:rsidRPr="00631C1B" w:rsidRDefault="00570F62" w:rsidP="009A3F2B">
            <w:r w:rsidRPr="00631C1B">
              <w:t>Average Actual Spend</w:t>
            </w:r>
          </w:p>
        </w:tc>
      </w:tr>
      <w:tr w:rsidR="00570F62" w:rsidRPr="00631C1B" w14:paraId="2EEADD95" w14:textId="77777777" w:rsidTr="009A3F2B">
        <w:trPr>
          <w:trHeight w:val="193"/>
        </w:trPr>
        <w:tc>
          <w:tcPr>
            <w:tcW w:w="4403" w:type="dxa"/>
          </w:tcPr>
          <w:p w14:paraId="07E36AC4" w14:textId="77777777" w:rsidR="00570F62" w:rsidRPr="00631C1B" w:rsidRDefault="00570F62" w:rsidP="009A3F2B">
            <w:r w:rsidRPr="00631C1B">
              <w:t>Aberdeen City</w:t>
            </w:r>
          </w:p>
        </w:tc>
        <w:tc>
          <w:tcPr>
            <w:tcW w:w="3723" w:type="dxa"/>
          </w:tcPr>
          <w:p w14:paraId="3A83A46A" w14:textId="1E09A73A" w:rsidR="00570F62" w:rsidRPr="00631C1B" w:rsidRDefault="00BD6340" w:rsidP="009A3F2B">
            <w:r>
              <w:t>2</w:t>
            </w:r>
          </w:p>
        </w:tc>
        <w:tc>
          <w:tcPr>
            <w:tcW w:w="3514" w:type="dxa"/>
          </w:tcPr>
          <w:p w14:paraId="67474DB9" w14:textId="23F15527" w:rsidR="00570F62" w:rsidRPr="00631C1B" w:rsidRDefault="007053BF" w:rsidP="009A3F2B">
            <w:r>
              <w:t>£215,465</w:t>
            </w:r>
          </w:p>
        </w:tc>
        <w:tc>
          <w:tcPr>
            <w:tcW w:w="3046" w:type="dxa"/>
          </w:tcPr>
          <w:p w14:paraId="357D9C88" w14:textId="667BC96E" w:rsidR="00570F62" w:rsidRPr="00631C1B" w:rsidRDefault="007053BF" w:rsidP="009A3F2B">
            <w:r>
              <w:t>£107,</w:t>
            </w:r>
            <w:r w:rsidR="003A3512">
              <w:t>733</w:t>
            </w:r>
          </w:p>
        </w:tc>
      </w:tr>
      <w:tr w:rsidR="003A3512" w:rsidRPr="00631C1B" w14:paraId="02630FB3" w14:textId="77777777" w:rsidTr="009A3F2B">
        <w:trPr>
          <w:trHeight w:val="209"/>
        </w:trPr>
        <w:tc>
          <w:tcPr>
            <w:tcW w:w="4403" w:type="dxa"/>
          </w:tcPr>
          <w:p w14:paraId="03435E3F" w14:textId="77777777" w:rsidR="003A3512" w:rsidRPr="00631C1B" w:rsidRDefault="003A3512" w:rsidP="003A3512">
            <w:r w:rsidRPr="00631C1B">
              <w:t>Dumfries &amp; Galloway</w:t>
            </w:r>
          </w:p>
        </w:tc>
        <w:tc>
          <w:tcPr>
            <w:tcW w:w="3723" w:type="dxa"/>
          </w:tcPr>
          <w:p w14:paraId="4A834471" w14:textId="77777777" w:rsidR="003A3512" w:rsidRPr="00631C1B" w:rsidRDefault="003A3512" w:rsidP="003A3512">
            <w:r w:rsidRPr="00631C1B">
              <w:t>1</w:t>
            </w:r>
          </w:p>
        </w:tc>
        <w:tc>
          <w:tcPr>
            <w:tcW w:w="3514" w:type="dxa"/>
          </w:tcPr>
          <w:p w14:paraId="28E58DAE" w14:textId="0A2989D0" w:rsidR="003A3512" w:rsidRPr="00631C1B" w:rsidRDefault="003A3512" w:rsidP="003A3512">
            <w:r>
              <w:rPr>
                <w:rFonts w:cs="Arial"/>
              </w:rPr>
              <w:t>£102,548</w:t>
            </w:r>
          </w:p>
        </w:tc>
        <w:tc>
          <w:tcPr>
            <w:tcW w:w="3046" w:type="dxa"/>
          </w:tcPr>
          <w:p w14:paraId="0979028A" w14:textId="0CE3351F" w:rsidR="003A3512" w:rsidRPr="00631C1B" w:rsidRDefault="003A3512" w:rsidP="003A3512">
            <w:r>
              <w:rPr>
                <w:rFonts w:cs="Arial"/>
              </w:rPr>
              <w:t>£102,548</w:t>
            </w:r>
          </w:p>
        </w:tc>
      </w:tr>
      <w:tr w:rsidR="003A3512" w:rsidRPr="00631C1B" w14:paraId="025882BD" w14:textId="77777777" w:rsidTr="009A3F2B">
        <w:trPr>
          <w:trHeight w:val="193"/>
        </w:trPr>
        <w:tc>
          <w:tcPr>
            <w:tcW w:w="4403" w:type="dxa"/>
          </w:tcPr>
          <w:p w14:paraId="2D5DF5E8" w14:textId="77777777" w:rsidR="003A3512" w:rsidRPr="00631C1B" w:rsidRDefault="003A3512" w:rsidP="003A3512">
            <w:r w:rsidRPr="00631C1B">
              <w:t>Dundee City</w:t>
            </w:r>
          </w:p>
        </w:tc>
        <w:tc>
          <w:tcPr>
            <w:tcW w:w="3723" w:type="dxa"/>
          </w:tcPr>
          <w:p w14:paraId="08AFA1C0" w14:textId="77777777" w:rsidR="003A3512" w:rsidRPr="00631C1B" w:rsidRDefault="003A3512" w:rsidP="003A3512">
            <w:r w:rsidRPr="00631C1B">
              <w:t>1</w:t>
            </w:r>
          </w:p>
        </w:tc>
        <w:tc>
          <w:tcPr>
            <w:tcW w:w="3514" w:type="dxa"/>
          </w:tcPr>
          <w:p w14:paraId="54DCEC69" w14:textId="75802547" w:rsidR="003A3512" w:rsidRPr="00631C1B" w:rsidRDefault="003A3512" w:rsidP="003A3512">
            <w:r>
              <w:rPr>
                <w:rFonts w:cs="Arial"/>
              </w:rPr>
              <w:t>£116, 491</w:t>
            </w:r>
          </w:p>
        </w:tc>
        <w:tc>
          <w:tcPr>
            <w:tcW w:w="3046" w:type="dxa"/>
          </w:tcPr>
          <w:p w14:paraId="3A6651AF" w14:textId="5023131F" w:rsidR="003A3512" w:rsidRPr="00631C1B" w:rsidRDefault="003A3512" w:rsidP="003A3512">
            <w:r>
              <w:rPr>
                <w:rFonts w:cs="Arial"/>
              </w:rPr>
              <w:t>£116, 491</w:t>
            </w:r>
          </w:p>
        </w:tc>
      </w:tr>
      <w:tr w:rsidR="003A3512" w:rsidRPr="00631C1B" w14:paraId="3C77C5AC" w14:textId="77777777" w:rsidTr="009A3F2B">
        <w:trPr>
          <w:trHeight w:val="193"/>
        </w:trPr>
        <w:tc>
          <w:tcPr>
            <w:tcW w:w="4403" w:type="dxa"/>
          </w:tcPr>
          <w:p w14:paraId="189C502C" w14:textId="77777777" w:rsidR="003A3512" w:rsidRPr="00631C1B" w:rsidRDefault="003A3512" w:rsidP="003A3512">
            <w:r w:rsidRPr="00631C1B">
              <w:t>Edinburgh</w:t>
            </w:r>
          </w:p>
        </w:tc>
        <w:tc>
          <w:tcPr>
            <w:tcW w:w="3723" w:type="dxa"/>
          </w:tcPr>
          <w:p w14:paraId="3FBC74B7" w14:textId="77777777" w:rsidR="003A3512" w:rsidRPr="00631C1B" w:rsidRDefault="003A3512" w:rsidP="003A3512">
            <w:r w:rsidRPr="00631C1B">
              <w:t>2</w:t>
            </w:r>
          </w:p>
        </w:tc>
        <w:tc>
          <w:tcPr>
            <w:tcW w:w="3514" w:type="dxa"/>
          </w:tcPr>
          <w:p w14:paraId="3BD65AF6" w14:textId="7A54AA4B" w:rsidR="003A3512" w:rsidRPr="00631C1B" w:rsidRDefault="001C203B" w:rsidP="003A3512">
            <w:r>
              <w:t>£159,653</w:t>
            </w:r>
          </w:p>
        </w:tc>
        <w:tc>
          <w:tcPr>
            <w:tcW w:w="3046" w:type="dxa"/>
          </w:tcPr>
          <w:p w14:paraId="296C57F9" w14:textId="1C2B6773" w:rsidR="003A3512" w:rsidRPr="00631C1B" w:rsidRDefault="001E15D8" w:rsidP="003A3512">
            <w:r>
              <w:t>£79,827</w:t>
            </w:r>
          </w:p>
        </w:tc>
      </w:tr>
      <w:tr w:rsidR="003A3512" w:rsidRPr="00631C1B" w14:paraId="1CC8BAE6" w14:textId="77777777" w:rsidTr="009A3F2B">
        <w:trPr>
          <w:trHeight w:val="193"/>
        </w:trPr>
        <w:tc>
          <w:tcPr>
            <w:tcW w:w="4403" w:type="dxa"/>
          </w:tcPr>
          <w:p w14:paraId="59E725A2" w14:textId="77777777" w:rsidR="003A3512" w:rsidRPr="00631C1B" w:rsidRDefault="003A3512" w:rsidP="003A3512">
            <w:r w:rsidRPr="00631C1B">
              <w:t>Falkirk/North Ayrshire</w:t>
            </w:r>
          </w:p>
        </w:tc>
        <w:tc>
          <w:tcPr>
            <w:tcW w:w="3723" w:type="dxa"/>
          </w:tcPr>
          <w:p w14:paraId="139BA301" w14:textId="77777777" w:rsidR="003A3512" w:rsidRPr="00631C1B" w:rsidRDefault="003A3512" w:rsidP="003A3512">
            <w:r w:rsidRPr="00631C1B">
              <w:t>1</w:t>
            </w:r>
          </w:p>
        </w:tc>
        <w:tc>
          <w:tcPr>
            <w:tcW w:w="3514" w:type="dxa"/>
          </w:tcPr>
          <w:p w14:paraId="54C90719" w14:textId="56FA9EC8" w:rsidR="003A3512" w:rsidRPr="00631C1B" w:rsidRDefault="001E15D8" w:rsidP="003A3512">
            <w:r>
              <w:rPr>
                <w:rFonts w:cs="Arial"/>
              </w:rPr>
              <w:t>£107,700</w:t>
            </w:r>
          </w:p>
        </w:tc>
        <w:tc>
          <w:tcPr>
            <w:tcW w:w="3046" w:type="dxa"/>
          </w:tcPr>
          <w:p w14:paraId="3F222A97" w14:textId="67AA3845" w:rsidR="003A3512" w:rsidRPr="00631C1B" w:rsidRDefault="001E15D8" w:rsidP="003A3512">
            <w:r>
              <w:rPr>
                <w:rFonts w:cs="Arial"/>
              </w:rPr>
              <w:t>£107,700</w:t>
            </w:r>
          </w:p>
        </w:tc>
      </w:tr>
      <w:tr w:rsidR="003A3512" w:rsidRPr="00631C1B" w14:paraId="172B180B" w14:textId="77777777" w:rsidTr="009A3F2B">
        <w:trPr>
          <w:trHeight w:val="193"/>
        </w:trPr>
        <w:tc>
          <w:tcPr>
            <w:tcW w:w="4403" w:type="dxa"/>
          </w:tcPr>
          <w:p w14:paraId="5BB6CD70" w14:textId="77777777" w:rsidR="003A3512" w:rsidRPr="00631C1B" w:rsidRDefault="003A3512" w:rsidP="003A3512">
            <w:r w:rsidRPr="00631C1B">
              <w:t>Glasgow</w:t>
            </w:r>
          </w:p>
        </w:tc>
        <w:tc>
          <w:tcPr>
            <w:tcW w:w="3723" w:type="dxa"/>
          </w:tcPr>
          <w:p w14:paraId="0EF43142" w14:textId="77777777" w:rsidR="003A3512" w:rsidRPr="00631C1B" w:rsidRDefault="003A3512" w:rsidP="003A3512">
            <w:r w:rsidRPr="00631C1B">
              <w:t>3</w:t>
            </w:r>
          </w:p>
        </w:tc>
        <w:tc>
          <w:tcPr>
            <w:tcW w:w="3514" w:type="dxa"/>
          </w:tcPr>
          <w:p w14:paraId="49127636" w14:textId="533E399F" w:rsidR="003A3512" w:rsidRPr="00631C1B" w:rsidRDefault="008A50DC" w:rsidP="003A3512">
            <w:r>
              <w:t>£225,558</w:t>
            </w:r>
          </w:p>
        </w:tc>
        <w:tc>
          <w:tcPr>
            <w:tcW w:w="3046" w:type="dxa"/>
          </w:tcPr>
          <w:p w14:paraId="644DC929" w14:textId="75D67BAA" w:rsidR="003A3512" w:rsidRPr="00631C1B" w:rsidRDefault="003218DC" w:rsidP="003A3512">
            <w:r>
              <w:t>£75,186</w:t>
            </w:r>
          </w:p>
        </w:tc>
      </w:tr>
      <w:tr w:rsidR="003A3512" w:rsidRPr="00631C1B" w14:paraId="50F82D91" w14:textId="77777777" w:rsidTr="009A3F2B">
        <w:trPr>
          <w:trHeight w:val="193"/>
        </w:trPr>
        <w:tc>
          <w:tcPr>
            <w:tcW w:w="4403" w:type="dxa"/>
          </w:tcPr>
          <w:p w14:paraId="6B4611EB" w14:textId="77777777" w:rsidR="003A3512" w:rsidRPr="00631C1B" w:rsidRDefault="003A3512" w:rsidP="003A3512">
            <w:r w:rsidRPr="00631C1B">
              <w:t>Glasgow / Inverclyde / West Lothian / North Lanarkshire</w:t>
            </w:r>
          </w:p>
        </w:tc>
        <w:tc>
          <w:tcPr>
            <w:tcW w:w="3723" w:type="dxa"/>
          </w:tcPr>
          <w:p w14:paraId="7A2A5FDA" w14:textId="77777777" w:rsidR="003A3512" w:rsidRPr="00631C1B" w:rsidRDefault="003A3512" w:rsidP="003A3512">
            <w:r w:rsidRPr="00631C1B">
              <w:t>1</w:t>
            </w:r>
          </w:p>
        </w:tc>
        <w:tc>
          <w:tcPr>
            <w:tcW w:w="3514" w:type="dxa"/>
          </w:tcPr>
          <w:p w14:paraId="46AC1539" w14:textId="378C76AF" w:rsidR="003A3512" w:rsidRPr="00631C1B" w:rsidRDefault="003218DC" w:rsidP="003A3512">
            <w:r>
              <w:rPr>
                <w:rFonts w:cs="Arial"/>
              </w:rPr>
              <w:t>£120,000</w:t>
            </w:r>
          </w:p>
        </w:tc>
        <w:tc>
          <w:tcPr>
            <w:tcW w:w="3046" w:type="dxa"/>
          </w:tcPr>
          <w:p w14:paraId="52B6FC41" w14:textId="22B1F310" w:rsidR="003A3512" w:rsidRPr="00631C1B" w:rsidRDefault="003218DC" w:rsidP="003A3512">
            <w:r>
              <w:rPr>
                <w:rFonts w:cs="Arial"/>
              </w:rPr>
              <w:t>£120,000</w:t>
            </w:r>
          </w:p>
        </w:tc>
      </w:tr>
      <w:tr w:rsidR="003218DC" w:rsidRPr="00631C1B" w14:paraId="47E61FA3" w14:textId="77777777" w:rsidTr="009A3F2B">
        <w:trPr>
          <w:trHeight w:val="193"/>
        </w:trPr>
        <w:tc>
          <w:tcPr>
            <w:tcW w:w="4403" w:type="dxa"/>
          </w:tcPr>
          <w:p w14:paraId="5BF8F95A" w14:textId="77777777" w:rsidR="003218DC" w:rsidRPr="00631C1B" w:rsidRDefault="003218DC" w:rsidP="003218DC">
            <w:r w:rsidRPr="00631C1B">
              <w:t>Highland / Moray</w:t>
            </w:r>
          </w:p>
        </w:tc>
        <w:tc>
          <w:tcPr>
            <w:tcW w:w="3723" w:type="dxa"/>
          </w:tcPr>
          <w:p w14:paraId="7982DE30" w14:textId="77777777" w:rsidR="003218DC" w:rsidRPr="00631C1B" w:rsidRDefault="003218DC" w:rsidP="003218DC">
            <w:r w:rsidRPr="00631C1B">
              <w:t>1</w:t>
            </w:r>
          </w:p>
        </w:tc>
        <w:tc>
          <w:tcPr>
            <w:tcW w:w="3514" w:type="dxa"/>
          </w:tcPr>
          <w:p w14:paraId="2C92D83E" w14:textId="6449B7E4" w:rsidR="003218DC" w:rsidRPr="00631C1B" w:rsidRDefault="003218DC" w:rsidP="003218DC">
            <w:r>
              <w:rPr>
                <w:rFonts w:cs="Arial"/>
              </w:rPr>
              <w:t>£120,000</w:t>
            </w:r>
          </w:p>
        </w:tc>
        <w:tc>
          <w:tcPr>
            <w:tcW w:w="3046" w:type="dxa"/>
          </w:tcPr>
          <w:p w14:paraId="187E7F4B" w14:textId="74C2C91A" w:rsidR="003218DC" w:rsidRPr="00631C1B" w:rsidRDefault="003218DC" w:rsidP="003218DC">
            <w:r>
              <w:rPr>
                <w:rFonts w:cs="Arial"/>
              </w:rPr>
              <w:t>£120,000</w:t>
            </w:r>
          </w:p>
        </w:tc>
      </w:tr>
      <w:tr w:rsidR="003218DC" w:rsidRPr="00631C1B" w14:paraId="3C1C8158" w14:textId="77777777" w:rsidTr="009A3F2B">
        <w:trPr>
          <w:trHeight w:val="193"/>
        </w:trPr>
        <w:tc>
          <w:tcPr>
            <w:tcW w:w="4403" w:type="dxa"/>
          </w:tcPr>
          <w:p w14:paraId="62587D50" w14:textId="77777777" w:rsidR="003218DC" w:rsidRPr="00631C1B" w:rsidRDefault="003218DC" w:rsidP="003218DC">
            <w:r w:rsidRPr="00631C1B">
              <w:t>Moray</w:t>
            </w:r>
          </w:p>
        </w:tc>
        <w:tc>
          <w:tcPr>
            <w:tcW w:w="3723" w:type="dxa"/>
          </w:tcPr>
          <w:p w14:paraId="77CC62BD" w14:textId="77777777" w:rsidR="003218DC" w:rsidRPr="00631C1B" w:rsidRDefault="003218DC" w:rsidP="003218DC">
            <w:r w:rsidRPr="00631C1B">
              <w:t>1</w:t>
            </w:r>
          </w:p>
        </w:tc>
        <w:tc>
          <w:tcPr>
            <w:tcW w:w="3514" w:type="dxa"/>
          </w:tcPr>
          <w:p w14:paraId="76F4F673" w14:textId="7F0E5C2D" w:rsidR="003218DC" w:rsidRPr="00631C1B" w:rsidRDefault="003218DC" w:rsidP="003218DC">
            <w:r>
              <w:rPr>
                <w:rFonts w:cs="Arial"/>
              </w:rPr>
              <w:t>£119,625</w:t>
            </w:r>
          </w:p>
        </w:tc>
        <w:tc>
          <w:tcPr>
            <w:tcW w:w="3046" w:type="dxa"/>
          </w:tcPr>
          <w:p w14:paraId="2E9F9B7B" w14:textId="64F33197" w:rsidR="003218DC" w:rsidRPr="00631C1B" w:rsidRDefault="003218DC" w:rsidP="003218DC">
            <w:r>
              <w:rPr>
                <w:rFonts w:cs="Arial"/>
              </w:rPr>
              <w:t>£119,625</w:t>
            </w:r>
          </w:p>
        </w:tc>
      </w:tr>
      <w:tr w:rsidR="003218DC" w:rsidRPr="00631C1B" w14:paraId="4FF147C1" w14:textId="77777777" w:rsidTr="009A3F2B">
        <w:trPr>
          <w:trHeight w:val="193"/>
        </w:trPr>
        <w:tc>
          <w:tcPr>
            <w:tcW w:w="4403" w:type="dxa"/>
          </w:tcPr>
          <w:p w14:paraId="2C9AE7A2" w14:textId="77777777" w:rsidR="003218DC" w:rsidRPr="00631C1B" w:rsidRDefault="003218DC" w:rsidP="003218DC">
            <w:r w:rsidRPr="00631C1B">
              <w:t>North Lanarkshire</w:t>
            </w:r>
          </w:p>
        </w:tc>
        <w:tc>
          <w:tcPr>
            <w:tcW w:w="3723" w:type="dxa"/>
          </w:tcPr>
          <w:p w14:paraId="4DB50373" w14:textId="77777777" w:rsidR="003218DC" w:rsidRPr="00631C1B" w:rsidRDefault="003218DC" w:rsidP="003218DC">
            <w:r w:rsidRPr="00631C1B">
              <w:t>1</w:t>
            </w:r>
          </w:p>
        </w:tc>
        <w:tc>
          <w:tcPr>
            <w:tcW w:w="3514" w:type="dxa"/>
          </w:tcPr>
          <w:p w14:paraId="34522533" w14:textId="0B6A9172" w:rsidR="003218DC" w:rsidRPr="00631C1B" w:rsidRDefault="003218DC" w:rsidP="003218DC">
            <w:r>
              <w:rPr>
                <w:rFonts w:cs="Arial"/>
              </w:rPr>
              <w:t>£66,823</w:t>
            </w:r>
          </w:p>
        </w:tc>
        <w:tc>
          <w:tcPr>
            <w:tcW w:w="3046" w:type="dxa"/>
          </w:tcPr>
          <w:p w14:paraId="4E69E7DF" w14:textId="125A6CE7" w:rsidR="003218DC" w:rsidRPr="00631C1B" w:rsidRDefault="003218DC" w:rsidP="003218DC">
            <w:r>
              <w:rPr>
                <w:rFonts w:cs="Arial"/>
              </w:rPr>
              <w:t>£66,823</w:t>
            </w:r>
          </w:p>
        </w:tc>
      </w:tr>
      <w:tr w:rsidR="003218DC" w:rsidRPr="00631C1B" w14:paraId="1662B8FB" w14:textId="77777777" w:rsidTr="009A3F2B">
        <w:trPr>
          <w:trHeight w:val="193"/>
        </w:trPr>
        <w:tc>
          <w:tcPr>
            <w:tcW w:w="4403" w:type="dxa"/>
          </w:tcPr>
          <w:p w14:paraId="765A869C" w14:textId="77777777" w:rsidR="003218DC" w:rsidRPr="00631C1B" w:rsidRDefault="003218DC" w:rsidP="003218DC">
            <w:r w:rsidRPr="00631C1B">
              <w:t>West Dunbartonshire</w:t>
            </w:r>
          </w:p>
        </w:tc>
        <w:tc>
          <w:tcPr>
            <w:tcW w:w="3723" w:type="dxa"/>
          </w:tcPr>
          <w:p w14:paraId="09EB042A" w14:textId="77777777" w:rsidR="003218DC" w:rsidRPr="00631C1B" w:rsidRDefault="003218DC" w:rsidP="003218DC">
            <w:r w:rsidRPr="00631C1B">
              <w:t>1</w:t>
            </w:r>
          </w:p>
        </w:tc>
        <w:tc>
          <w:tcPr>
            <w:tcW w:w="3514" w:type="dxa"/>
          </w:tcPr>
          <w:p w14:paraId="180B6B8B" w14:textId="2D3210B9" w:rsidR="003218DC" w:rsidRPr="00631C1B" w:rsidRDefault="003218DC" w:rsidP="003218DC">
            <w:r>
              <w:rPr>
                <w:rFonts w:cs="Arial"/>
              </w:rPr>
              <w:t>£40,012</w:t>
            </w:r>
          </w:p>
        </w:tc>
        <w:tc>
          <w:tcPr>
            <w:tcW w:w="3046" w:type="dxa"/>
          </w:tcPr>
          <w:p w14:paraId="09297463" w14:textId="74B8558E" w:rsidR="003218DC" w:rsidRPr="00631C1B" w:rsidRDefault="003218DC" w:rsidP="003218DC">
            <w:r>
              <w:rPr>
                <w:rFonts w:cs="Arial"/>
              </w:rPr>
              <w:t>£40,012</w:t>
            </w:r>
          </w:p>
        </w:tc>
      </w:tr>
      <w:tr w:rsidR="003218DC" w:rsidRPr="00631C1B" w14:paraId="2F67C236" w14:textId="77777777" w:rsidTr="009A3F2B">
        <w:trPr>
          <w:trHeight w:val="193"/>
        </w:trPr>
        <w:tc>
          <w:tcPr>
            <w:tcW w:w="4403" w:type="dxa"/>
          </w:tcPr>
          <w:p w14:paraId="645F45CE" w14:textId="77777777" w:rsidR="003218DC" w:rsidRPr="00631C1B" w:rsidRDefault="003218DC" w:rsidP="003218DC">
            <w:r w:rsidRPr="00631C1B">
              <w:t>West Lothian</w:t>
            </w:r>
          </w:p>
        </w:tc>
        <w:tc>
          <w:tcPr>
            <w:tcW w:w="3723" w:type="dxa"/>
          </w:tcPr>
          <w:p w14:paraId="3605DAC2" w14:textId="77777777" w:rsidR="003218DC" w:rsidRPr="00631C1B" w:rsidRDefault="003218DC" w:rsidP="003218DC">
            <w:r w:rsidRPr="00631C1B">
              <w:t>1</w:t>
            </w:r>
          </w:p>
        </w:tc>
        <w:tc>
          <w:tcPr>
            <w:tcW w:w="3514" w:type="dxa"/>
          </w:tcPr>
          <w:p w14:paraId="19A62609" w14:textId="1C42DD9C" w:rsidR="003218DC" w:rsidRPr="00631C1B" w:rsidRDefault="003218DC" w:rsidP="003218DC">
            <w:r>
              <w:rPr>
                <w:rFonts w:cs="Arial"/>
              </w:rPr>
              <w:t>£11</w:t>
            </w:r>
            <w:r w:rsidR="00C95C19">
              <w:rPr>
                <w:rFonts w:cs="Arial"/>
              </w:rPr>
              <w:t>6,000</w:t>
            </w:r>
          </w:p>
        </w:tc>
        <w:tc>
          <w:tcPr>
            <w:tcW w:w="3046" w:type="dxa"/>
          </w:tcPr>
          <w:p w14:paraId="160DEDC8" w14:textId="55AC64DB" w:rsidR="003218DC" w:rsidRPr="00631C1B" w:rsidRDefault="003218DC" w:rsidP="003218DC">
            <w:r>
              <w:rPr>
                <w:rFonts w:cs="Arial"/>
              </w:rPr>
              <w:t>£119,625</w:t>
            </w:r>
          </w:p>
        </w:tc>
      </w:tr>
      <w:tr w:rsidR="003218DC" w:rsidRPr="00631C1B" w14:paraId="0CBA3C22" w14:textId="77777777" w:rsidTr="009A3F2B">
        <w:trPr>
          <w:trHeight w:val="193"/>
        </w:trPr>
        <w:tc>
          <w:tcPr>
            <w:tcW w:w="4403" w:type="dxa"/>
          </w:tcPr>
          <w:p w14:paraId="3A926011" w14:textId="77777777" w:rsidR="003218DC" w:rsidRPr="00631C1B" w:rsidRDefault="003218DC" w:rsidP="003218DC">
            <w:pPr>
              <w:rPr>
                <w:b/>
                <w:bCs/>
              </w:rPr>
            </w:pPr>
            <w:r w:rsidRPr="00631C1B">
              <w:rPr>
                <w:b/>
                <w:bCs/>
              </w:rPr>
              <w:t>TOTAL</w:t>
            </w:r>
          </w:p>
        </w:tc>
        <w:tc>
          <w:tcPr>
            <w:tcW w:w="3723" w:type="dxa"/>
          </w:tcPr>
          <w:p w14:paraId="1C7C4CD6" w14:textId="30673BCE" w:rsidR="003218DC" w:rsidRPr="00631C1B" w:rsidRDefault="003218DC" w:rsidP="003218DC">
            <w:pPr>
              <w:rPr>
                <w:b/>
                <w:bCs/>
              </w:rPr>
            </w:pPr>
            <w:r w:rsidRPr="00631C1B">
              <w:rPr>
                <w:b/>
                <w:bCs/>
              </w:rPr>
              <w:t>16</w:t>
            </w:r>
          </w:p>
        </w:tc>
        <w:tc>
          <w:tcPr>
            <w:tcW w:w="3514" w:type="dxa"/>
          </w:tcPr>
          <w:p w14:paraId="679C6D5B" w14:textId="47B20972" w:rsidR="003218DC" w:rsidRPr="00631C1B" w:rsidRDefault="00B57932" w:rsidP="003218DC">
            <w:pPr>
              <w:rPr>
                <w:b/>
                <w:bCs/>
              </w:rPr>
            </w:pPr>
            <w:r w:rsidRPr="00F102D9">
              <w:rPr>
                <w:b/>
                <w:bCs/>
              </w:rPr>
              <w:t>£1,</w:t>
            </w:r>
            <w:r w:rsidR="00C7166B" w:rsidRPr="00F102D9">
              <w:rPr>
                <w:b/>
                <w:bCs/>
              </w:rPr>
              <w:t>393</w:t>
            </w:r>
            <w:r w:rsidR="00C7166B">
              <w:rPr>
                <w:b/>
                <w:bCs/>
              </w:rPr>
              <w:t>,384</w:t>
            </w:r>
          </w:p>
        </w:tc>
        <w:tc>
          <w:tcPr>
            <w:tcW w:w="3046" w:type="dxa"/>
          </w:tcPr>
          <w:p w14:paraId="771C1E10" w14:textId="77777777" w:rsidR="003218DC" w:rsidRPr="00631C1B" w:rsidRDefault="003218DC" w:rsidP="003218DC">
            <w:pPr>
              <w:rPr>
                <w:b/>
                <w:bCs/>
              </w:rPr>
            </w:pPr>
          </w:p>
        </w:tc>
      </w:tr>
    </w:tbl>
    <w:p w14:paraId="5FA1A29E" w14:textId="77777777" w:rsidR="00570F62" w:rsidRPr="00631C1B" w:rsidRDefault="00570F62" w:rsidP="00570F62">
      <w:pPr>
        <w:pStyle w:val="Source"/>
        <w:sectPr w:rsidR="00570F62" w:rsidRPr="00631C1B" w:rsidSect="00102B25">
          <w:type w:val="continuous"/>
          <w:pgSz w:w="16838" w:h="11906" w:orient="landscape"/>
          <w:pgMar w:top="1440" w:right="964" w:bottom="1440" w:left="964" w:header="709" w:footer="709" w:gutter="0"/>
          <w:cols w:space="708"/>
          <w:docGrid w:linePitch="360"/>
        </w:sectPr>
      </w:pPr>
      <w:r w:rsidRPr="00631C1B">
        <w:t>Source: Creative Scotland (2020)</w:t>
      </w:r>
    </w:p>
    <w:p w14:paraId="367BE633" w14:textId="77777777" w:rsidR="00570F62" w:rsidRPr="00631C1B" w:rsidRDefault="00570F62" w:rsidP="00FE6DDF">
      <w:pPr>
        <w:pStyle w:val="BodyText"/>
      </w:pPr>
    </w:p>
    <w:tbl>
      <w:tblPr>
        <w:tblStyle w:val="BOPtable"/>
        <w:tblpPr w:vertAnchor="page" w:horzAnchor="page" w:tblpYSpec="bottom"/>
        <w:tblOverlap w:val="never"/>
        <w:tblW w:w="16869" w:type="dxa"/>
        <w:tblBorders>
          <w:top w:val="none" w:sz="0" w:space="0" w:color="auto"/>
          <w:insideH w:val="none" w:sz="0" w:space="0" w:color="auto"/>
        </w:tblBorders>
        <w:tblLook w:val="0600" w:firstRow="0" w:lastRow="0" w:firstColumn="0" w:lastColumn="0" w:noHBand="1" w:noVBand="1"/>
      </w:tblPr>
      <w:tblGrid>
        <w:gridCol w:w="964"/>
        <w:gridCol w:w="6480"/>
        <w:gridCol w:w="5580"/>
        <w:gridCol w:w="3845"/>
      </w:tblGrid>
      <w:tr w:rsidR="00B54D30" w:rsidRPr="00631C1B" w14:paraId="74908624" w14:textId="77777777" w:rsidTr="12517F50">
        <w:trPr>
          <w:trHeight w:val="6053"/>
        </w:trPr>
        <w:tc>
          <w:tcPr>
            <w:tcW w:w="964" w:type="dxa"/>
          </w:tcPr>
          <w:p w14:paraId="3613B997" w14:textId="77777777" w:rsidR="0073618A" w:rsidRPr="00631C1B" w:rsidRDefault="0073618A" w:rsidP="006B3398"/>
        </w:tc>
        <w:tc>
          <w:tcPr>
            <w:tcW w:w="6480" w:type="dxa"/>
            <w:vAlign w:val="bottom"/>
          </w:tcPr>
          <w:p w14:paraId="2DC3B910" w14:textId="77777777" w:rsidR="000A2314" w:rsidRPr="00631C1B" w:rsidRDefault="0073618A" w:rsidP="00B54D30">
            <w:pPr>
              <w:spacing w:after="120"/>
            </w:pPr>
            <w:r w:rsidRPr="00631C1B">
              <w:rPr>
                <w:noProof/>
              </w:rPr>
              <w:drawing>
                <wp:inline distT="0" distB="0" distL="0" distR="0" wp14:anchorId="624A2BB6" wp14:editId="740ADE7D">
                  <wp:extent cx="1263015" cy="565785"/>
                  <wp:effectExtent l="0" t="0" r="0" b="5715"/>
                  <wp:docPr id="181395518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9">
                            <a:extLst>
                              <a:ext uri="{28A0092B-C50C-407E-A947-70E740481C1C}">
                                <a14:useLocalDpi xmlns:a14="http://schemas.microsoft.com/office/drawing/2010/main" val="0"/>
                              </a:ext>
                            </a:extLst>
                          </a:blip>
                          <a:stretch>
                            <a:fillRect/>
                          </a:stretch>
                        </pic:blipFill>
                        <pic:spPr>
                          <a:xfrm>
                            <a:off x="0" y="0"/>
                            <a:ext cx="1263015" cy="565785"/>
                          </a:xfrm>
                          <a:prstGeom prst="rect">
                            <a:avLst/>
                          </a:prstGeom>
                        </pic:spPr>
                      </pic:pic>
                    </a:graphicData>
                  </a:graphic>
                </wp:inline>
              </w:drawing>
            </w:r>
          </w:p>
          <w:p w14:paraId="489F612C" w14:textId="77777777" w:rsidR="006B3398" w:rsidRPr="00631C1B" w:rsidRDefault="006B3398" w:rsidP="006B3398"/>
        </w:tc>
        <w:tc>
          <w:tcPr>
            <w:tcW w:w="5580" w:type="dxa"/>
          </w:tcPr>
          <w:p w14:paraId="255F9DF7" w14:textId="77777777" w:rsidR="0073618A" w:rsidRPr="00631C1B" w:rsidRDefault="0073618A" w:rsidP="006B3398"/>
        </w:tc>
        <w:tc>
          <w:tcPr>
            <w:tcW w:w="3845" w:type="dxa"/>
          </w:tcPr>
          <w:p w14:paraId="603BE36C" w14:textId="77777777" w:rsidR="0073618A" w:rsidRPr="00631C1B" w:rsidRDefault="0073618A" w:rsidP="006B3398"/>
        </w:tc>
      </w:tr>
      <w:tr w:rsidR="0073618A" w:rsidRPr="00631C1B" w14:paraId="30C1F64C" w14:textId="77777777" w:rsidTr="12517F50">
        <w:trPr>
          <w:trHeight w:val="737"/>
        </w:trPr>
        <w:tc>
          <w:tcPr>
            <w:tcW w:w="964" w:type="dxa"/>
            <w:shd w:val="clear" w:color="auto" w:fill="3C5896" w:themeFill="accent1"/>
          </w:tcPr>
          <w:p w14:paraId="67770019" w14:textId="77777777" w:rsidR="0073618A" w:rsidRPr="00631C1B" w:rsidRDefault="0073618A" w:rsidP="006B3398"/>
        </w:tc>
        <w:tc>
          <w:tcPr>
            <w:tcW w:w="6480" w:type="dxa"/>
            <w:shd w:val="clear" w:color="auto" w:fill="3C5896" w:themeFill="accent1"/>
          </w:tcPr>
          <w:p w14:paraId="5B4BA402" w14:textId="77777777" w:rsidR="0073618A" w:rsidRPr="00631C1B" w:rsidRDefault="0073618A" w:rsidP="006B3398"/>
        </w:tc>
        <w:tc>
          <w:tcPr>
            <w:tcW w:w="5580" w:type="dxa"/>
            <w:shd w:val="clear" w:color="auto" w:fill="3C5896" w:themeFill="accent1"/>
          </w:tcPr>
          <w:p w14:paraId="7FDFD443" w14:textId="77777777" w:rsidR="0073618A" w:rsidRPr="00631C1B" w:rsidRDefault="0073618A" w:rsidP="006B3398"/>
        </w:tc>
        <w:tc>
          <w:tcPr>
            <w:tcW w:w="3845" w:type="dxa"/>
            <w:shd w:val="clear" w:color="auto" w:fill="3C5896" w:themeFill="accent1"/>
          </w:tcPr>
          <w:p w14:paraId="48DF11FD" w14:textId="77777777" w:rsidR="0073618A" w:rsidRPr="00631C1B" w:rsidRDefault="0073618A" w:rsidP="006B3398"/>
        </w:tc>
      </w:tr>
      <w:tr w:rsidR="0073618A" w:rsidRPr="001268CA" w14:paraId="5DEFAB21" w14:textId="77777777" w:rsidTr="12517F50">
        <w:trPr>
          <w:trHeight w:val="2778"/>
        </w:trPr>
        <w:tc>
          <w:tcPr>
            <w:tcW w:w="964" w:type="dxa"/>
            <w:shd w:val="clear" w:color="auto" w:fill="3C5896" w:themeFill="accent1"/>
          </w:tcPr>
          <w:p w14:paraId="1C127DDB" w14:textId="77777777" w:rsidR="0073618A" w:rsidRPr="00631C1B" w:rsidRDefault="0073618A" w:rsidP="006B3398">
            <w:pPr>
              <w:pStyle w:val="Whitetext"/>
              <w:framePr w:wrap="auto" w:vAnchor="margin" w:hAnchor="text" w:yAlign="inline"/>
              <w:suppressOverlap w:val="0"/>
            </w:pPr>
          </w:p>
        </w:tc>
        <w:tc>
          <w:tcPr>
            <w:tcW w:w="6480" w:type="dxa"/>
            <w:shd w:val="clear" w:color="auto" w:fill="3C5896" w:themeFill="accent1"/>
          </w:tcPr>
          <w:p w14:paraId="0C72EF89" w14:textId="77777777" w:rsidR="00415D87" w:rsidRPr="00631C1B" w:rsidRDefault="0073618A" w:rsidP="006B3398">
            <w:pPr>
              <w:pStyle w:val="Whitetext"/>
              <w:framePr w:wrap="auto" w:vAnchor="margin" w:hAnchor="text" w:yAlign="inline"/>
              <w:suppressOverlap w:val="0"/>
            </w:pPr>
            <w:r w:rsidRPr="00631C1B">
              <w:t>BOP Consulting is an international consultancy</w:t>
            </w:r>
          </w:p>
          <w:p w14:paraId="305C1E5B" w14:textId="77777777" w:rsidR="0073618A" w:rsidRPr="00631C1B" w:rsidRDefault="0073618A" w:rsidP="006B3398">
            <w:pPr>
              <w:pStyle w:val="Whitetext"/>
              <w:framePr w:wrap="auto" w:vAnchor="margin" w:hAnchor="text" w:yAlign="inline"/>
              <w:suppressOverlap w:val="0"/>
            </w:pPr>
            <w:r w:rsidRPr="00631C1B">
              <w:t>specialising in culture and the creative economy.</w:t>
            </w:r>
          </w:p>
          <w:p w14:paraId="59055CC1" w14:textId="77777777" w:rsidR="00415D87" w:rsidRPr="00631C1B" w:rsidRDefault="00415D87" w:rsidP="006B3398">
            <w:pPr>
              <w:pStyle w:val="Whitetext"/>
              <w:framePr w:wrap="auto" w:vAnchor="margin" w:hAnchor="text" w:yAlign="inline"/>
              <w:suppressOverlap w:val="0"/>
            </w:pPr>
          </w:p>
          <w:p w14:paraId="3DC42DD5" w14:textId="77777777" w:rsidR="0073618A" w:rsidRPr="00631C1B" w:rsidRDefault="0073618A" w:rsidP="006B3398">
            <w:pPr>
              <w:pStyle w:val="Whitetext"/>
              <w:framePr w:wrap="auto" w:vAnchor="margin" w:hAnchor="text" w:yAlign="inline"/>
              <w:suppressOverlap w:val="0"/>
            </w:pPr>
            <w:r w:rsidRPr="00631C1B">
              <w:t xml:space="preserve">BOP convenes the </w:t>
            </w:r>
            <w:r w:rsidRPr="00631C1B">
              <w:rPr>
                <w:b/>
              </w:rPr>
              <w:t>World Cities Culture Forum</w:t>
            </w:r>
          </w:p>
          <w:p w14:paraId="2A1F166D" w14:textId="77777777" w:rsidR="0073618A" w:rsidRPr="00631C1B" w:rsidRDefault="0073618A" w:rsidP="006B3398">
            <w:pPr>
              <w:pStyle w:val="Whitetext"/>
              <w:framePr w:wrap="auto" w:vAnchor="margin" w:hAnchor="text" w:yAlign="inline"/>
              <w:suppressOverlap w:val="0"/>
            </w:pPr>
            <w:r w:rsidRPr="00631C1B">
              <w:t>(WCCF), an international network of more than</w:t>
            </w:r>
          </w:p>
          <w:p w14:paraId="05AC2978" w14:textId="77777777" w:rsidR="0073618A" w:rsidRPr="00631C1B" w:rsidRDefault="0073618A" w:rsidP="006B3398">
            <w:pPr>
              <w:pStyle w:val="Whitetext"/>
              <w:framePr w:wrap="auto" w:vAnchor="margin" w:hAnchor="text" w:yAlign="inline"/>
              <w:suppressOverlap w:val="0"/>
            </w:pPr>
            <w:r w:rsidRPr="00631C1B">
              <w:t>35 cities. www.worldcitiescultureforum.com</w:t>
            </w:r>
          </w:p>
        </w:tc>
        <w:tc>
          <w:tcPr>
            <w:tcW w:w="5580" w:type="dxa"/>
            <w:shd w:val="clear" w:color="auto" w:fill="3C5896" w:themeFill="accent1"/>
          </w:tcPr>
          <w:p w14:paraId="38BF9A37" w14:textId="77777777" w:rsidR="0073618A" w:rsidRPr="00631C1B" w:rsidRDefault="0073618A" w:rsidP="006B3398">
            <w:pPr>
              <w:pStyle w:val="Whitetext"/>
              <w:framePr w:wrap="auto" w:vAnchor="margin" w:hAnchor="text" w:yAlign="inline"/>
              <w:suppressOverlap w:val="0"/>
              <w:rPr>
                <w:b/>
              </w:rPr>
            </w:pPr>
            <w:r w:rsidRPr="00631C1B">
              <w:rPr>
                <w:b/>
              </w:rPr>
              <w:t>London</w:t>
            </w:r>
          </w:p>
          <w:p w14:paraId="298BFD9C" w14:textId="1C88A53F" w:rsidR="0073618A" w:rsidRPr="00631C1B" w:rsidRDefault="00FD277E" w:rsidP="006B3398">
            <w:pPr>
              <w:pStyle w:val="Whitetext"/>
              <w:framePr w:wrap="auto" w:vAnchor="margin" w:hAnchor="text" w:yAlign="inline"/>
              <w:suppressOverlap w:val="0"/>
            </w:pPr>
            <w:r w:rsidRPr="00631C1B">
              <w:t>Henry Wood House</w:t>
            </w:r>
            <w:r w:rsidR="0073618A" w:rsidRPr="00631C1B">
              <w:t xml:space="preserve">, </w:t>
            </w:r>
            <w:r w:rsidR="00FD0E44" w:rsidRPr="00631C1B">
              <w:t xml:space="preserve">2 Riding House </w:t>
            </w:r>
            <w:proofErr w:type="gramStart"/>
            <w:r w:rsidR="00FD0E44" w:rsidRPr="00631C1B">
              <w:t xml:space="preserve">Street,   </w:t>
            </w:r>
            <w:proofErr w:type="gramEnd"/>
            <w:r w:rsidR="00FD0E44" w:rsidRPr="00631C1B">
              <w:t xml:space="preserve">              London W1W 7FA</w:t>
            </w:r>
          </w:p>
          <w:p w14:paraId="7A8D040A" w14:textId="77777777" w:rsidR="00415D87" w:rsidRPr="00631C1B" w:rsidRDefault="00415D87" w:rsidP="006B3398">
            <w:pPr>
              <w:pStyle w:val="Whitetext"/>
              <w:framePr w:wrap="auto" w:vAnchor="margin" w:hAnchor="text" w:yAlign="inline"/>
              <w:suppressOverlap w:val="0"/>
            </w:pPr>
          </w:p>
          <w:p w14:paraId="0EE0E095" w14:textId="77777777" w:rsidR="0073618A" w:rsidRPr="00631C1B" w:rsidRDefault="0073618A" w:rsidP="006B3398">
            <w:pPr>
              <w:pStyle w:val="Whitetext"/>
              <w:framePr w:wrap="auto" w:vAnchor="margin" w:hAnchor="text" w:yAlign="inline"/>
              <w:suppressOverlap w:val="0"/>
              <w:rPr>
                <w:b/>
              </w:rPr>
            </w:pPr>
            <w:r w:rsidRPr="00631C1B">
              <w:rPr>
                <w:b/>
              </w:rPr>
              <w:t>Edinburgh</w:t>
            </w:r>
          </w:p>
          <w:p w14:paraId="64146BCC" w14:textId="77777777" w:rsidR="0073618A" w:rsidRPr="00631C1B" w:rsidRDefault="0073618A" w:rsidP="006B3398">
            <w:pPr>
              <w:pStyle w:val="Whitetext"/>
              <w:framePr w:wrap="auto" w:vAnchor="margin" w:hAnchor="text" w:yAlign="inline"/>
              <w:suppressOverlap w:val="0"/>
            </w:pPr>
            <w:r w:rsidRPr="00631C1B">
              <w:t>16 Young Street, Edinburgh, EH2 4JB</w:t>
            </w:r>
          </w:p>
          <w:p w14:paraId="7E786FBC" w14:textId="77777777" w:rsidR="00415D87" w:rsidRPr="00631C1B" w:rsidRDefault="00415D87" w:rsidP="006B3398">
            <w:pPr>
              <w:pStyle w:val="Whitetext"/>
              <w:framePr w:wrap="auto" w:vAnchor="margin" w:hAnchor="text" w:yAlign="inline"/>
              <w:suppressOverlap w:val="0"/>
            </w:pPr>
          </w:p>
          <w:p w14:paraId="6D637E73" w14:textId="77777777" w:rsidR="0073618A" w:rsidRPr="00631C1B" w:rsidRDefault="0073618A" w:rsidP="006B3398">
            <w:pPr>
              <w:pStyle w:val="Whitetext"/>
              <w:framePr w:wrap="auto" w:vAnchor="margin" w:hAnchor="text" w:yAlign="inline"/>
              <w:suppressOverlap w:val="0"/>
              <w:rPr>
                <w:b/>
              </w:rPr>
            </w:pPr>
            <w:r w:rsidRPr="00631C1B">
              <w:rPr>
                <w:b/>
              </w:rPr>
              <w:t>Shanghai</w:t>
            </w:r>
          </w:p>
          <w:p w14:paraId="1CF6E50F" w14:textId="77777777" w:rsidR="0073618A" w:rsidRPr="00631C1B" w:rsidRDefault="0073618A" w:rsidP="006B3398">
            <w:pPr>
              <w:pStyle w:val="Whitetext"/>
              <w:framePr w:wrap="auto" w:vAnchor="margin" w:hAnchor="text" w:yAlign="inline"/>
              <w:suppressOverlap w:val="0"/>
            </w:pPr>
            <w:r w:rsidRPr="00631C1B">
              <w:t xml:space="preserve">213 – 214, No. 585 </w:t>
            </w:r>
            <w:proofErr w:type="spellStart"/>
            <w:r w:rsidRPr="00631C1B">
              <w:t>Fuxing</w:t>
            </w:r>
            <w:proofErr w:type="spellEnd"/>
            <w:r w:rsidRPr="00631C1B">
              <w:t xml:space="preserve"> Middle Road,</w:t>
            </w:r>
          </w:p>
          <w:p w14:paraId="46BE3DDA" w14:textId="77777777" w:rsidR="0073618A" w:rsidRPr="00631C1B" w:rsidRDefault="0073618A" w:rsidP="006B3398">
            <w:pPr>
              <w:pStyle w:val="Whitetext"/>
              <w:framePr w:wrap="auto" w:vAnchor="margin" w:hAnchor="text" w:yAlign="inline"/>
              <w:suppressOverlap w:val="0"/>
            </w:pPr>
            <w:r w:rsidRPr="00631C1B">
              <w:t>Shanghai 200025, China</w:t>
            </w:r>
          </w:p>
        </w:tc>
        <w:tc>
          <w:tcPr>
            <w:tcW w:w="3845" w:type="dxa"/>
            <w:shd w:val="clear" w:color="auto" w:fill="3C5896" w:themeFill="accent1"/>
          </w:tcPr>
          <w:p w14:paraId="0B57A007" w14:textId="77777777" w:rsidR="0073618A" w:rsidRPr="00631C1B" w:rsidRDefault="0073618A" w:rsidP="006B3398">
            <w:pPr>
              <w:pStyle w:val="Whitetext"/>
              <w:framePr w:wrap="auto" w:vAnchor="margin" w:hAnchor="text" w:yAlign="inline"/>
              <w:suppressOverlap w:val="0"/>
              <w:rPr>
                <w:b/>
              </w:rPr>
            </w:pPr>
            <w:r w:rsidRPr="00631C1B">
              <w:rPr>
                <w:b/>
              </w:rPr>
              <w:t>Web</w:t>
            </w:r>
          </w:p>
          <w:p w14:paraId="3BA2D920" w14:textId="77777777" w:rsidR="0073618A" w:rsidRPr="00631C1B" w:rsidRDefault="0073618A" w:rsidP="006B3398">
            <w:pPr>
              <w:pStyle w:val="Whitetext"/>
              <w:framePr w:wrap="auto" w:vAnchor="margin" w:hAnchor="text" w:yAlign="inline"/>
              <w:suppressOverlap w:val="0"/>
            </w:pPr>
            <w:r w:rsidRPr="00631C1B">
              <w:t>www.bop.co.uk</w:t>
            </w:r>
          </w:p>
          <w:p w14:paraId="71707D62" w14:textId="77777777" w:rsidR="00415D87" w:rsidRPr="00631C1B" w:rsidRDefault="00415D87" w:rsidP="006B3398">
            <w:pPr>
              <w:pStyle w:val="Whitetext"/>
              <w:framePr w:wrap="auto" w:vAnchor="margin" w:hAnchor="text" w:yAlign="inline"/>
              <w:suppressOverlap w:val="0"/>
            </w:pPr>
          </w:p>
          <w:p w14:paraId="038713DD" w14:textId="77777777" w:rsidR="0073618A" w:rsidRPr="00631C1B" w:rsidRDefault="0073618A" w:rsidP="006B3398">
            <w:pPr>
              <w:pStyle w:val="Whitetext"/>
              <w:framePr w:wrap="auto" w:vAnchor="margin" w:hAnchor="text" w:yAlign="inline"/>
              <w:suppressOverlap w:val="0"/>
              <w:rPr>
                <w:b/>
              </w:rPr>
            </w:pPr>
            <w:r w:rsidRPr="00631C1B">
              <w:rPr>
                <w:b/>
              </w:rPr>
              <w:t>Twitter</w:t>
            </w:r>
          </w:p>
          <w:p w14:paraId="7011B11E" w14:textId="77777777" w:rsidR="0073618A" w:rsidRPr="00631C1B" w:rsidRDefault="0073618A" w:rsidP="006B3398">
            <w:pPr>
              <w:pStyle w:val="Whitetext"/>
              <w:framePr w:wrap="auto" w:vAnchor="margin" w:hAnchor="text" w:yAlign="inline"/>
              <w:suppressOverlap w:val="0"/>
            </w:pPr>
            <w:r w:rsidRPr="00631C1B">
              <w:t>@BOP_Consulting</w:t>
            </w:r>
          </w:p>
          <w:p w14:paraId="71C4AFB3" w14:textId="77777777" w:rsidR="00415D87" w:rsidRPr="00631C1B" w:rsidRDefault="00415D87" w:rsidP="006B3398">
            <w:pPr>
              <w:pStyle w:val="Whitetext"/>
              <w:framePr w:wrap="auto" w:vAnchor="margin" w:hAnchor="text" w:yAlign="inline"/>
              <w:suppressOverlap w:val="0"/>
            </w:pPr>
          </w:p>
          <w:p w14:paraId="21956422" w14:textId="77777777" w:rsidR="0073618A" w:rsidRPr="00631C1B" w:rsidRDefault="0073618A" w:rsidP="006B3398">
            <w:pPr>
              <w:pStyle w:val="Whitetext"/>
              <w:framePr w:wrap="auto" w:vAnchor="margin" w:hAnchor="text" w:yAlign="inline"/>
              <w:suppressOverlap w:val="0"/>
              <w:rPr>
                <w:b/>
              </w:rPr>
            </w:pPr>
            <w:r w:rsidRPr="00631C1B">
              <w:rPr>
                <w:b/>
              </w:rPr>
              <w:t>Blog</w:t>
            </w:r>
          </w:p>
          <w:p w14:paraId="7B2F3ACC" w14:textId="77777777" w:rsidR="0073618A" w:rsidRPr="001268CA" w:rsidRDefault="0073618A" w:rsidP="006B3398">
            <w:pPr>
              <w:pStyle w:val="Whitetext"/>
              <w:framePr w:wrap="auto" w:vAnchor="margin" w:hAnchor="text" w:yAlign="inline"/>
              <w:suppressOverlap w:val="0"/>
            </w:pPr>
            <w:r w:rsidRPr="00631C1B">
              <w:t>www.bop.co.uk/articles</w:t>
            </w:r>
          </w:p>
        </w:tc>
      </w:tr>
    </w:tbl>
    <w:p w14:paraId="4E84F71D" w14:textId="4C845938" w:rsidR="0073618A" w:rsidRPr="001268CA" w:rsidRDefault="0073618A" w:rsidP="00366DE6"/>
    <w:sectPr w:rsidR="0073618A" w:rsidRPr="001268CA" w:rsidSect="00102B25">
      <w:footerReference w:type="default" r:id="rId24"/>
      <w:type w:val="continuous"/>
      <w:pgSz w:w="16838" w:h="11906" w:orient="landscape"/>
      <w:pgMar w:top="1440" w:right="964" w:bottom="1440" w:left="96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66935" w14:textId="77777777" w:rsidR="004E40EF" w:rsidRDefault="004E40EF" w:rsidP="00A5616F">
      <w:pPr>
        <w:spacing w:line="240" w:lineRule="auto"/>
      </w:pPr>
      <w:r>
        <w:separator/>
      </w:r>
    </w:p>
  </w:endnote>
  <w:endnote w:type="continuationSeparator" w:id="0">
    <w:p w14:paraId="3DAC2982" w14:textId="77777777" w:rsidR="004E40EF" w:rsidRDefault="004E40EF" w:rsidP="00A5616F">
      <w:pPr>
        <w:spacing w:line="240" w:lineRule="auto"/>
      </w:pPr>
      <w:r>
        <w:continuationSeparator/>
      </w:r>
    </w:p>
  </w:endnote>
  <w:endnote w:type="continuationNotice" w:id="1">
    <w:p w14:paraId="5C5118B7" w14:textId="77777777" w:rsidR="004E40EF" w:rsidRDefault="004E40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AC4B7" w14:textId="77777777" w:rsidR="00491AB1" w:rsidRDefault="00491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886C" w14:textId="77777777" w:rsidR="00491AB1" w:rsidRDefault="00491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69C44" w14:textId="77777777" w:rsidR="00491AB1" w:rsidRDefault="00491A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7A807" w14:textId="77777777" w:rsidR="00491AB1" w:rsidRDefault="00491AB1" w:rsidP="00970708">
    <w:pPr>
      <w:pStyle w:val="Footer"/>
    </w:pPr>
    <w:r>
      <w:tab/>
    </w:r>
    <w:r>
      <w:fldChar w:fldCharType="begin"/>
    </w:r>
    <w:r>
      <w:instrText xml:space="preserve"> page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D0351" w14:textId="77777777" w:rsidR="00491AB1" w:rsidRDefault="00491AB1" w:rsidP="00200578">
    <w:pPr>
      <w:pStyle w:val="Footer"/>
    </w:pPr>
    <w:r>
      <w:fldChar w:fldCharType="begin"/>
    </w:r>
    <w:r>
      <w:instrText xml:space="preserve"> page </w:instrText>
    </w:r>
    <w:r>
      <w:fldChar w:fldCharType="separate"/>
    </w:r>
    <w:r>
      <w:rPr>
        <w:noProof/>
      </w:rPr>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1335" w14:textId="77777777" w:rsidR="00491AB1" w:rsidRDefault="00491AB1" w:rsidP="00970708">
    <w:pPr>
      <w:pStyle w:val="Footer"/>
    </w:pPr>
    <w:r>
      <w:t>—</w:t>
    </w:r>
  </w:p>
  <w:p w14:paraId="022FB971" w14:textId="77777777" w:rsidR="00491AB1" w:rsidRPr="00FA7B84" w:rsidRDefault="00491AB1" w:rsidP="00970708">
    <w:pPr>
      <w:pStyle w:val="Footer"/>
      <w:rPr>
        <w:b/>
      </w:rPr>
    </w:pPr>
    <w:r w:rsidRPr="00FA7B84">
      <w:t>www.bop.co.uk</w:t>
    </w:r>
    <w:r w:rsidRPr="00FA7B84">
      <w:tab/>
    </w:r>
    <w:r w:rsidRPr="00FA7B84">
      <w:rPr>
        <w:b/>
      </w:rPr>
      <w:fldChar w:fldCharType="begin"/>
    </w:r>
    <w:r w:rsidRPr="00FA7B84">
      <w:instrText xml:space="preserve"> page </w:instrText>
    </w:r>
    <w:r w:rsidRPr="00FA7B84">
      <w:rPr>
        <w:b/>
      </w:rPr>
      <w:fldChar w:fldCharType="separate"/>
    </w:r>
    <w:r>
      <w:rPr>
        <w:noProof/>
      </w:rPr>
      <w:t>3</w:t>
    </w:r>
    <w:r w:rsidRPr="00FA7B84">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2ED9" w14:textId="77777777" w:rsidR="004E40EF" w:rsidRPr="006B3398" w:rsidRDefault="004E40EF" w:rsidP="00A5616F">
      <w:pPr>
        <w:spacing w:line="240" w:lineRule="auto"/>
        <w:rPr>
          <w:color w:val="3C5896" w:themeColor="accent1"/>
        </w:rPr>
      </w:pPr>
      <w:r w:rsidRPr="006B3398">
        <w:rPr>
          <w:color w:val="3C5896" w:themeColor="accent1"/>
        </w:rPr>
        <w:separator/>
      </w:r>
    </w:p>
  </w:footnote>
  <w:footnote w:type="continuationSeparator" w:id="0">
    <w:p w14:paraId="4ABD5AA9" w14:textId="77777777" w:rsidR="004E40EF" w:rsidRDefault="004E40EF" w:rsidP="00A5616F">
      <w:pPr>
        <w:spacing w:line="240" w:lineRule="auto"/>
      </w:pPr>
      <w:r>
        <w:continuationSeparator/>
      </w:r>
    </w:p>
  </w:footnote>
  <w:footnote w:type="continuationNotice" w:id="1">
    <w:p w14:paraId="43B70759" w14:textId="77777777" w:rsidR="004E40EF" w:rsidRDefault="004E40EF">
      <w:pPr>
        <w:spacing w:line="240" w:lineRule="auto"/>
      </w:pPr>
    </w:p>
  </w:footnote>
  <w:footnote w:id="2">
    <w:p w14:paraId="0D03C7C6" w14:textId="27E87E7F" w:rsidR="00491AB1" w:rsidRDefault="00491AB1" w:rsidP="008E309A">
      <w:pPr>
        <w:pStyle w:val="FootnoteText"/>
      </w:pPr>
      <w:r>
        <w:rPr>
          <w:rStyle w:val="FootnoteReference"/>
        </w:rPr>
        <w:footnoteRef/>
      </w:r>
      <w:r>
        <w:t xml:space="preserve"> Dancebase took part in Year 1 and 2. YsortIt took part in Year 3 only </w:t>
      </w:r>
    </w:p>
  </w:footnote>
  <w:footnote w:id="3">
    <w:p w14:paraId="24A17BAF" w14:textId="712C4CCA" w:rsidR="00491AB1" w:rsidRPr="00F4205D" w:rsidRDefault="00491AB1" w:rsidP="00210C6D">
      <w:pPr>
        <w:pStyle w:val="FootnoteText"/>
        <w:rPr>
          <w:lang w:val="en-US"/>
        </w:rPr>
      </w:pPr>
      <w:r>
        <w:rPr>
          <w:rStyle w:val="FootnoteReference"/>
        </w:rPr>
        <w:footnoteRef/>
      </w:r>
      <w:r>
        <w:t xml:space="preserve"> </w:t>
      </w:r>
      <w:r>
        <w:rPr>
          <w:lang w:val="en-US"/>
        </w:rPr>
        <w:t>NB: In order to be proportionate in reporting and data management, the Targeted Fund SIMD data is based on participant postcode, and the Open Fund is based on the location of where the activity was provided.</w:t>
      </w:r>
    </w:p>
  </w:footnote>
  <w:footnote w:id="4">
    <w:p w14:paraId="7A3BC6AF" w14:textId="77777777" w:rsidR="00491AB1" w:rsidRPr="00F4205D" w:rsidRDefault="00491AB1" w:rsidP="00F41487">
      <w:pPr>
        <w:pStyle w:val="FootnoteText"/>
        <w:rPr>
          <w:lang w:val="en-US"/>
        </w:rPr>
      </w:pPr>
      <w:r>
        <w:rPr>
          <w:rStyle w:val="FootnoteReference"/>
        </w:rPr>
        <w:footnoteRef/>
      </w:r>
      <w:r>
        <w:t xml:space="preserve"> </w:t>
      </w:r>
      <w:r>
        <w:rPr>
          <w:lang w:val="en-US"/>
        </w:rPr>
        <w:t>NB: In order to be proportionate in reporting and data management, the Targeted Fund SIMD data is based on participant postcode, and the Open Fund is based on the location of where the activity was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0C84" w14:textId="77777777" w:rsidR="00491AB1" w:rsidRDefault="00491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DEA5A" w14:textId="77777777" w:rsidR="00491AB1" w:rsidRDefault="00491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E71C" w14:textId="77777777" w:rsidR="00491AB1" w:rsidRDefault="00491A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1443" w14:textId="77777777" w:rsidR="00491AB1" w:rsidRDefault="00491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C8B453E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919478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B42489"/>
    <w:multiLevelType w:val="multilevel"/>
    <w:tmpl w:val="F508EEC6"/>
    <w:lvl w:ilvl="0">
      <w:start w:val="1"/>
      <w:numFmt w:val="bullet"/>
      <w:pStyle w:val="ListBullet"/>
      <w:lvlText w:val="—"/>
      <w:lvlJc w:val="left"/>
      <w:pPr>
        <w:ind w:left="284" w:hanging="284"/>
      </w:pPr>
      <w:rPr>
        <w:rFonts w:ascii="Arial" w:hAnsi="Arial" w:hint="default"/>
        <w:b/>
        <w:i w:val="0"/>
        <w:color w:val="3C5896" w:themeColor="accent1"/>
      </w:rPr>
    </w:lvl>
    <w:lvl w:ilvl="1">
      <w:start w:val="1"/>
      <w:numFmt w:val="bullet"/>
      <w:pStyle w:val="ListBullet2"/>
      <w:lvlText w:val=""/>
      <w:lvlJc w:val="left"/>
      <w:pPr>
        <w:ind w:left="567" w:hanging="283"/>
      </w:pPr>
      <w:rPr>
        <w:rFonts w:ascii="Symbol" w:hAnsi="Symbol" w:hint="default"/>
        <w:color w:val="1F497D" w:themeColor="text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3726B50"/>
    <w:multiLevelType w:val="hybridMultilevel"/>
    <w:tmpl w:val="346A3CA6"/>
    <w:lvl w:ilvl="0" w:tplc="6938E3A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872EE"/>
    <w:multiLevelType w:val="hybridMultilevel"/>
    <w:tmpl w:val="EF624B7E"/>
    <w:lvl w:ilvl="0" w:tplc="E38E3FA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2C1199"/>
    <w:multiLevelType w:val="multilevel"/>
    <w:tmpl w:val="869A6362"/>
    <w:styleLink w:val="IFFBullets"/>
    <w:lvl w:ilvl="0">
      <w:start w:val="1"/>
      <w:numFmt w:val="bullet"/>
      <w:lvlText w:val=""/>
      <w:lvlJc w:val="left"/>
      <w:pPr>
        <w:ind w:left="284" w:hanging="284"/>
      </w:pPr>
      <w:rPr>
        <w:rFonts w:ascii="Symbol" w:hAnsi="Symbol" w:hint="default"/>
        <w:color w:val="EEECE1" w:themeColor="background2"/>
      </w:rPr>
    </w:lvl>
    <w:lvl w:ilvl="1">
      <w:start w:val="1"/>
      <w:numFmt w:val="bullet"/>
      <w:lvlText w:val=""/>
      <w:lvlJc w:val="left"/>
      <w:pPr>
        <w:ind w:left="567" w:hanging="283"/>
      </w:pPr>
      <w:rPr>
        <w:rFonts w:ascii="Symbol" w:hAnsi="Symbol" w:hint="default"/>
        <w:color w:val="EEECE1" w:themeColor="background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15:restartNumberingAfterBreak="0">
    <w:nsid w:val="74437F33"/>
    <w:multiLevelType w:val="multilevel"/>
    <w:tmpl w:val="7F12528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567" w:hanging="567"/>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ListNumber"/>
      <w:lvlText w:val="%4."/>
      <w:lvlJc w:val="left"/>
      <w:pPr>
        <w:tabs>
          <w:tab w:val="num" w:pos="284"/>
        </w:tabs>
        <w:ind w:left="284" w:hanging="284"/>
      </w:pPr>
      <w:rPr>
        <w:rFonts w:hint="default"/>
        <w:b/>
        <w:i w:val="0"/>
        <w:color w:val="3C5896" w:themeColor="accent1"/>
      </w:rPr>
    </w:lvl>
    <w:lvl w:ilvl="4">
      <w:start w:val="1"/>
      <w:numFmt w:val="lowerLetter"/>
      <w:pStyle w:val="Listalpha"/>
      <w:lvlText w:val="%5)"/>
      <w:lvlJc w:val="left"/>
      <w:pPr>
        <w:tabs>
          <w:tab w:val="num" w:pos="284"/>
        </w:tabs>
        <w:ind w:left="284" w:hanging="284"/>
      </w:pPr>
      <w:rPr>
        <w:rFonts w:hint="default"/>
        <w:color w:val="3C5896" w:themeColor="accent1"/>
      </w:rPr>
    </w:lvl>
    <w:lvl w:ilvl="5">
      <w:start w:val="1"/>
      <w:numFmt w:val="lowerRoman"/>
      <w:pStyle w:val="Listroman"/>
      <w:lvlText w:val="(%6)"/>
      <w:lvlJc w:val="left"/>
      <w:pPr>
        <w:tabs>
          <w:tab w:val="num" w:pos="567"/>
        </w:tabs>
        <w:ind w:left="284" w:hanging="284"/>
      </w:pPr>
      <w:rPr>
        <w:rFonts w:hint="default"/>
        <w:color w:val="3C5896" w:themeColor="accent1"/>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65"/>
    <w:rsid w:val="0000053D"/>
    <w:rsid w:val="00000EAF"/>
    <w:rsid w:val="0000289B"/>
    <w:rsid w:val="000034C2"/>
    <w:rsid w:val="00003523"/>
    <w:rsid w:val="0000453E"/>
    <w:rsid w:val="000045B0"/>
    <w:rsid w:val="00004A3B"/>
    <w:rsid w:val="00004B51"/>
    <w:rsid w:val="00005FB3"/>
    <w:rsid w:val="00006301"/>
    <w:rsid w:val="000063CF"/>
    <w:rsid w:val="00006415"/>
    <w:rsid w:val="0000758F"/>
    <w:rsid w:val="0000780A"/>
    <w:rsid w:val="00007975"/>
    <w:rsid w:val="00007C38"/>
    <w:rsid w:val="00007E76"/>
    <w:rsid w:val="00007EF7"/>
    <w:rsid w:val="0001006A"/>
    <w:rsid w:val="00010325"/>
    <w:rsid w:val="00011762"/>
    <w:rsid w:val="00011E13"/>
    <w:rsid w:val="00012C51"/>
    <w:rsid w:val="00013139"/>
    <w:rsid w:val="00013339"/>
    <w:rsid w:val="00013D2D"/>
    <w:rsid w:val="00014A99"/>
    <w:rsid w:val="00014DF2"/>
    <w:rsid w:val="0001552C"/>
    <w:rsid w:val="0001578E"/>
    <w:rsid w:val="00015AC8"/>
    <w:rsid w:val="0001668E"/>
    <w:rsid w:val="000202F9"/>
    <w:rsid w:val="0002058A"/>
    <w:rsid w:val="00020832"/>
    <w:rsid w:val="00020F2A"/>
    <w:rsid w:val="00021545"/>
    <w:rsid w:val="0002188D"/>
    <w:rsid w:val="00022236"/>
    <w:rsid w:val="00023C4C"/>
    <w:rsid w:val="000241BB"/>
    <w:rsid w:val="00024543"/>
    <w:rsid w:val="00024F3E"/>
    <w:rsid w:val="000253B7"/>
    <w:rsid w:val="0002576F"/>
    <w:rsid w:val="00025774"/>
    <w:rsid w:val="00025C3F"/>
    <w:rsid w:val="00026352"/>
    <w:rsid w:val="00026F5A"/>
    <w:rsid w:val="0002759A"/>
    <w:rsid w:val="00027F6B"/>
    <w:rsid w:val="000303BB"/>
    <w:rsid w:val="0003056F"/>
    <w:rsid w:val="00030D57"/>
    <w:rsid w:val="00031CA7"/>
    <w:rsid w:val="00031E6A"/>
    <w:rsid w:val="00034917"/>
    <w:rsid w:val="00034B04"/>
    <w:rsid w:val="0003501A"/>
    <w:rsid w:val="0003552E"/>
    <w:rsid w:val="000358F4"/>
    <w:rsid w:val="000360A2"/>
    <w:rsid w:val="000360A3"/>
    <w:rsid w:val="0003618E"/>
    <w:rsid w:val="00036763"/>
    <w:rsid w:val="00037083"/>
    <w:rsid w:val="00040308"/>
    <w:rsid w:val="00041C9A"/>
    <w:rsid w:val="000433CF"/>
    <w:rsid w:val="00043DC7"/>
    <w:rsid w:val="0004440A"/>
    <w:rsid w:val="00044CEB"/>
    <w:rsid w:val="00044EFB"/>
    <w:rsid w:val="000451CB"/>
    <w:rsid w:val="000459CD"/>
    <w:rsid w:val="000463C5"/>
    <w:rsid w:val="00046D42"/>
    <w:rsid w:val="00047E71"/>
    <w:rsid w:val="00050117"/>
    <w:rsid w:val="0005021B"/>
    <w:rsid w:val="000504DE"/>
    <w:rsid w:val="00050FE1"/>
    <w:rsid w:val="00051F24"/>
    <w:rsid w:val="00052285"/>
    <w:rsid w:val="00053197"/>
    <w:rsid w:val="000531E5"/>
    <w:rsid w:val="0005357F"/>
    <w:rsid w:val="00053AD5"/>
    <w:rsid w:val="00054760"/>
    <w:rsid w:val="00054791"/>
    <w:rsid w:val="0005492C"/>
    <w:rsid w:val="00055062"/>
    <w:rsid w:val="00056587"/>
    <w:rsid w:val="00056AB3"/>
    <w:rsid w:val="00056DDA"/>
    <w:rsid w:val="000573B2"/>
    <w:rsid w:val="00060462"/>
    <w:rsid w:val="00060CF0"/>
    <w:rsid w:val="00060D4E"/>
    <w:rsid w:val="00061382"/>
    <w:rsid w:val="0006256F"/>
    <w:rsid w:val="000625ED"/>
    <w:rsid w:val="00062744"/>
    <w:rsid w:val="00062B36"/>
    <w:rsid w:val="00062D93"/>
    <w:rsid w:val="00063A65"/>
    <w:rsid w:val="0006463E"/>
    <w:rsid w:val="00065438"/>
    <w:rsid w:val="0006624D"/>
    <w:rsid w:val="00066719"/>
    <w:rsid w:val="00066913"/>
    <w:rsid w:val="00067624"/>
    <w:rsid w:val="00070442"/>
    <w:rsid w:val="00070BF3"/>
    <w:rsid w:val="00070DF9"/>
    <w:rsid w:val="0007109B"/>
    <w:rsid w:val="000711AB"/>
    <w:rsid w:val="00071BA9"/>
    <w:rsid w:val="00071D33"/>
    <w:rsid w:val="00072FB3"/>
    <w:rsid w:val="00073142"/>
    <w:rsid w:val="00073EA4"/>
    <w:rsid w:val="000747CB"/>
    <w:rsid w:val="00075D87"/>
    <w:rsid w:val="00076C61"/>
    <w:rsid w:val="00080203"/>
    <w:rsid w:val="00080359"/>
    <w:rsid w:val="00080781"/>
    <w:rsid w:val="0008195C"/>
    <w:rsid w:val="00081F99"/>
    <w:rsid w:val="00082407"/>
    <w:rsid w:val="00083E3F"/>
    <w:rsid w:val="0008550F"/>
    <w:rsid w:val="00085556"/>
    <w:rsid w:val="00086877"/>
    <w:rsid w:val="00087084"/>
    <w:rsid w:val="00090196"/>
    <w:rsid w:val="000908DC"/>
    <w:rsid w:val="000909F8"/>
    <w:rsid w:val="00090A98"/>
    <w:rsid w:val="00090D32"/>
    <w:rsid w:val="000911CE"/>
    <w:rsid w:val="00091470"/>
    <w:rsid w:val="00091F4C"/>
    <w:rsid w:val="000935DA"/>
    <w:rsid w:val="0009391A"/>
    <w:rsid w:val="00093FE2"/>
    <w:rsid w:val="00094E6C"/>
    <w:rsid w:val="00094EC7"/>
    <w:rsid w:val="0009508B"/>
    <w:rsid w:val="00095DE4"/>
    <w:rsid w:val="00096582"/>
    <w:rsid w:val="00096676"/>
    <w:rsid w:val="0009773F"/>
    <w:rsid w:val="00097D9B"/>
    <w:rsid w:val="000A0A17"/>
    <w:rsid w:val="000A0ABE"/>
    <w:rsid w:val="000A12C4"/>
    <w:rsid w:val="000A1309"/>
    <w:rsid w:val="000A1F42"/>
    <w:rsid w:val="000A2314"/>
    <w:rsid w:val="000A2B0D"/>
    <w:rsid w:val="000A3C27"/>
    <w:rsid w:val="000A3E1B"/>
    <w:rsid w:val="000A4913"/>
    <w:rsid w:val="000A570D"/>
    <w:rsid w:val="000A5DDC"/>
    <w:rsid w:val="000A63C4"/>
    <w:rsid w:val="000A65D0"/>
    <w:rsid w:val="000A73EF"/>
    <w:rsid w:val="000A77FC"/>
    <w:rsid w:val="000B0571"/>
    <w:rsid w:val="000B3211"/>
    <w:rsid w:val="000B3F20"/>
    <w:rsid w:val="000B4923"/>
    <w:rsid w:val="000B4E57"/>
    <w:rsid w:val="000B5FC5"/>
    <w:rsid w:val="000B609D"/>
    <w:rsid w:val="000B6BEB"/>
    <w:rsid w:val="000B708D"/>
    <w:rsid w:val="000B7ABA"/>
    <w:rsid w:val="000B7B01"/>
    <w:rsid w:val="000B7C81"/>
    <w:rsid w:val="000B7E5A"/>
    <w:rsid w:val="000B7F9C"/>
    <w:rsid w:val="000C0592"/>
    <w:rsid w:val="000C0FEC"/>
    <w:rsid w:val="000C11D9"/>
    <w:rsid w:val="000C133D"/>
    <w:rsid w:val="000C39EC"/>
    <w:rsid w:val="000C3FB4"/>
    <w:rsid w:val="000C4020"/>
    <w:rsid w:val="000C4D02"/>
    <w:rsid w:val="000C52D1"/>
    <w:rsid w:val="000C5A3E"/>
    <w:rsid w:val="000C6228"/>
    <w:rsid w:val="000C6C7E"/>
    <w:rsid w:val="000C70E2"/>
    <w:rsid w:val="000C76CA"/>
    <w:rsid w:val="000C7800"/>
    <w:rsid w:val="000D0933"/>
    <w:rsid w:val="000D0A91"/>
    <w:rsid w:val="000D1A73"/>
    <w:rsid w:val="000D1E19"/>
    <w:rsid w:val="000D22E0"/>
    <w:rsid w:val="000D34A9"/>
    <w:rsid w:val="000D3BEC"/>
    <w:rsid w:val="000E0350"/>
    <w:rsid w:val="000E0E95"/>
    <w:rsid w:val="000E12D0"/>
    <w:rsid w:val="000E14E7"/>
    <w:rsid w:val="000E2DEC"/>
    <w:rsid w:val="000E2E03"/>
    <w:rsid w:val="000E35DB"/>
    <w:rsid w:val="000E4E60"/>
    <w:rsid w:val="000E5FC0"/>
    <w:rsid w:val="000E6111"/>
    <w:rsid w:val="000E6C95"/>
    <w:rsid w:val="000E6E19"/>
    <w:rsid w:val="000E764D"/>
    <w:rsid w:val="000E78DD"/>
    <w:rsid w:val="000F058A"/>
    <w:rsid w:val="000F05DB"/>
    <w:rsid w:val="000F0662"/>
    <w:rsid w:val="000F0672"/>
    <w:rsid w:val="000F0A48"/>
    <w:rsid w:val="000F1412"/>
    <w:rsid w:val="000F1692"/>
    <w:rsid w:val="000F1A8B"/>
    <w:rsid w:val="000F1E72"/>
    <w:rsid w:val="000F2B3C"/>
    <w:rsid w:val="000F33FF"/>
    <w:rsid w:val="000F3826"/>
    <w:rsid w:val="000F3A61"/>
    <w:rsid w:val="000F3DDC"/>
    <w:rsid w:val="000F3E4B"/>
    <w:rsid w:val="000F5246"/>
    <w:rsid w:val="000F5267"/>
    <w:rsid w:val="000F5491"/>
    <w:rsid w:val="000F6037"/>
    <w:rsid w:val="000F6071"/>
    <w:rsid w:val="000F6550"/>
    <w:rsid w:val="000F76D4"/>
    <w:rsid w:val="000F7846"/>
    <w:rsid w:val="00100038"/>
    <w:rsid w:val="00100B43"/>
    <w:rsid w:val="00100E76"/>
    <w:rsid w:val="001015CC"/>
    <w:rsid w:val="00101B3C"/>
    <w:rsid w:val="00102A8F"/>
    <w:rsid w:val="00102B25"/>
    <w:rsid w:val="00102CCD"/>
    <w:rsid w:val="001038D4"/>
    <w:rsid w:val="00103C7E"/>
    <w:rsid w:val="00104411"/>
    <w:rsid w:val="00104DFA"/>
    <w:rsid w:val="0010544D"/>
    <w:rsid w:val="001054D6"/>
    <w:rsid w:val="00105F42"/>
    <w:rsid w:val="0010617F"/>
    <w:rsid w:val="001067D7"/>
    <w:rsid w:val="00107330"/>
    <w:rsid w:val="00107CA9"/>
    <w:rsid w:val="00110220"/>
    <w:rsid w:val="00110CF7"/>
    <w:rsid w:val="001112A0"/>
    <w:rsid w:val="00111502"/>
    <w:rsid w:val="00111B36"/>
    <w:rsid w:val="00111E94"/>
    <w:rsid w:val="00112910"/>
    <w:rsid w:val="0011355B"/>
    <w:rsid w:val="0011368D"/>
    <w:rsid w:val="00113E59"/>
    <w:rsid w:val="00113FCF"/>
    <w:rsid w:val="001141F9"/>
    <w:rsid w:val="0011484A"/>
    <w:rsid w:val="00114F83"/>
    <w:rsid w:val="001152E4"/>
    <w:rsid w:val="001160EE"/>
    <w:rsid w:val="001161FA"/>
    <w:rsid w:val="001169D3"/>
    <w:rsid w:val="00116F10"/>
    <w:rsid w:val="001170A7"/>
    <w:rsid w:val="00120858"/>
    <w:rsid w:val="001212B2"/>
    <w:rsid w:val="0012242B"/>
    <w:rsid w:val="00124380"/>
    <w:rsid w:val="001247F7"/>
    <w:rsid w:val="0012529E"/>
    <w:rsid w:val="001253F9"/>
    <w:rsid w:val="00125616"/>
    <w:rsid w:val="00125B82"/>
    <w:rsid w:val="00125C5D"/>
    <w:rsid w:val="001264DF"/>
    <w:rsid w:val="001268CA"/>
    <w:rsid w:val="001269C4"/>
    <w:rsid w:val="00127206"/>
    <w:rsid w:val="00127D9E"/>
    <w:rsid w:val="00127F92"/>
    <w:rsid w:val="00127F9B"/>
    <w:rsid w:val="0013006E"/>
    <w:rsid w:val="00130D3B"/>
    <w:rsid w:val="001318A1"/>
    <w:rsid w:val="00131B7B"/>
    <w:rsid w:val="001323D7"/>
    <w:rsid w:val="001331A7"/>
    <w:rsid w:val="001331E6"/>
    <w:rsid w:val="00133CC5"/>
    <w:rsid w:val="00134843"/>
    <w:rsid w:val="00134BF6"/>
    <w:rsid w:val="001358D3"/>
    <w:rsid w:val="001359E5"/>
    <w:rsid w:val="00135A75"/>
    <w:rsid w:val="00136505"/>
    <w:rsid w:val="00136AF4"/>
    <w:rsid w:val="00137229"/>
    <w:rsid w:val="00137570"/>
    <w:rsid w:val="001377C6"/>
    <w:rsid w:val="0014043C"/>
    <w:rsid w:val="00140FBF"/>
    <w:rsid w:val="001420A5"/>
    <w:rsid w:val="001426BE"/>
    <w:rsid w:val="00142772"/>
    <w:rsid w:val="00143551"/>
    <w:rsid w:val="001435CD"/>
    <w:rsid w:val="0014394F"/>
    <w:rsid w:val="00144950"/>
    <w:rsid w:val="00144956"/>
    <w:rsid w:val="00145245"/>
    <w:rsid w:val="001459A6"/>
    <w:rsid w:val="001459B6"/>
    <w:rsid w:val="001459C1"/>
    <w:rsid w:val="00145B46"/>
    <w:rsid w:val="00145D2A"/>
    <w:rsid w:val="00145DEE"/>
    <w:rsid w:val="00146AC3"/>
    <w:rsid w:val="00146F34"/>
    <w:rsid w:val="00147254"/>
    <w:rsid w:val="0014726F"/>
    <w:rsid w:val="00150000"/>
    <w:rsid w:val="001508A9"/>
    <w:rsid w:val="001508CA"/>
    <w:rsid w:val="00150C94"/>
    <w:rsid w:val="00150CB7"/>
    <w:rsid w:val="001510C9"/>
    <w:rsid w:val="00152022"/>
    <w:rsid w:val="0015232F"/>
    <w:rsid w:val="00152564"/>
    <w:rsid w:val="00152995"/>
    <w:rsid w:val="00152F2F"/>
    <w:rsid w:val="00154ADE"/>
    <w:rsid w:val="00154BCC"/>
    <w:rsid w:val="00155473"/>
    <w:rsid w:val="0015597A"/>
    <w:rsid w:val="00155F98"/>
    <w:rsid w:val="001561C6"/>
    <w:rsid w:val="00157A57"/>
    <w:rsid w:val="00157C42"/>
    <w:rsid w:val="00160433"/>
    <w:rsid w:val="001607CF"/>
    <w:rsid w:val="001608CB"/>
    <w:rsid w:val="00160D88"/>
    <w:rsid w:val="001615AC"/>
    <w:rsid w:val="00162A11"/>
    <w:rsid w:val="0016353B"/>
    <w:rsid w:val="00164AB1"/>
    <w:rsid w:val="00164D44"/>
    <w:rsid w:val="00165059"/>
    <w:rsid w:val="00165269"/>
    <w:rsid w:val="00165D38"/>
    <w:rsid w:val="00165ED6"/>
    <w:rsid w:val="00166705"/>
    <w:rsid w:val="0016702F"/>
    <w:rsid w:val="00167311"/>
    <w:rsid w:val="001673E4"/>
    <w:rsid w:val="00167767"/>
    <w:rsid w:val="00167927"/>
    <w:rsid w:val="00167B2E"/>
    <w:rsid w:val="001703EB"/>
    <w:rsid w:val="001706B3"/>
    <w:rsid w:val="00170EA0"/>
    <w:rsid w:val="0017183A"/>
    <w:rsid w:val="0017219F"/>
    <w:rsid w:val="00173806"/>
    <w:rsid w:val="0017549A"/>
    <w:rsid w:val="00176165"/>
    <w:rsid w:val="00176567"/>
    <w:rsid w:val="001765F8"/>
    <w:rsid w:val="00176F3F"/>
    <w:rsid w:val="001776CF"/>
    <w:rsid w:val="00180173"/>
    <w:rsid w:val="001808E5"/>
    <w:rsid w:val="001811C5"/>
    <w:rsid w:val="00181D4E"/>
    <w:rsid w:val="00182450"/>
    <w:rsid w:val="00182C43"/>
    <w:rsid w:val="00182EFC"/>
    <w:rsid w:val="001842F8"/>
    <w:rsid w:val="001845E4"/>
    <w:rsid w:val="001849BB"/>
    <w:rsid w:val="001855A6"/>
    <w:rsid w:val="00185A77"/>
    <w:rsid w:val="00185B32"/>
    <w:rsid w:val="00185E04"/>
    <w:rsid w:val="00185FA4"/>
    <w:rsid w:val="0018608B"/>
    <w:rsid w:val="001871F6"/>
    <w:rsid w:val="00187F18"/>
    <w:rsid w:val="001919FC"/>
    <w:rsid w:val="001920F8"/>
    <w:rsid w:val="00192F5A"/>
    <w:rsid w:val="001935D7"/>
    <w:rsid w:val="00193874"/>
    <w:rsid w:val="00193A58"/>
    <w:rsid w:val="00194245"/>
    <w:rsid w:val="00194491"/>
    <w:rsid w:val="00194763"/>
    <w:rsid w:val="00194D75"/>
    <w:rsid w:val="0019522A"/>
    <w:rsid w:val="001956FC"/>
    <w:rsid w:val="00195C9F"/>
    <w:rsid w:val="00196186"/>
    <w:rsid w:val="00196313"/>
    <w:rsid w:val="001978EF"/>
    <w:rsid w:val="00197A93"/>
    <w:rsid w:val="001A13FE"/>
    <w:rsid w:val="001A1633"/>
    <w:rsid w:val="001A2CDC"/>
    <w:rsid w:val="001A401B"/>
    <w:rsid w:val="001A4246"/>
    <w:rsid w:val="001A4298"/>
    <w:rsid w:val="001A4607"/>
    <w:rsid w:val="001A4739"/>
    <w:rsid w:val="001A549A"/>
    <w:rsid w:val="001A54D1"/>
    <w:rsid w:val="001A6109"/>
    <w:rsid w:val="001A6369"/>
    <w:rsid w:val="001A641E"/>
    <w:rsid w:val="001A7523"/>
    <w:rsid w:val="001A79ED"/>
    <w:rsid w:val="001A7A1F"/>
    <w:rsid w:val="001A7B2C"/>
    <w:rsid w:val="001A7E26"/>
    <w:rsid w:val="001A7FBF"/>
    <w:rsid w:val="001B1A80"/>
    <w:rsid w:val="001B1B79"/>
    <w:rsid w:val="001B1C74"/>
    <w:rsid w:val="001B278B"/>
    <w:rsid w:val="001B2FC9"/>
    <w:rsid w:val="001B5064"/>
    <w:rsid w:val="001B5167"/>
    <w:rsid w:val="001B5681"/>
    <w:rsid w:val="001B5A30"/>
    <w:rsid w:val="001B5A50"/>
    <w:rsid w:val="001B7A62"/>
    <w:rsid w:val="001B7DB7"/>
    <w:rsid w:val="001C059A"/>
    <w:rsid w:val="001C0703"/>
    <w:rsid w:val="001C0CFB"/>
    <w:rsid w:val="001C15E8"/>
    <w:rsid w:val="001C167E"/>
    <w:rsid w:val="001C196A"/>
    <w:rsid w:val="001C2032"/>
    <w:rsid w:val="001C203B"/>
    <w:rsid w:val="001C2BA2"/>
    <w:rsid w:val="001C32E5"/>
    <w:rsid w:val="001C3C22"/>
    <w:rsid w:val="001C4215"/>
    <w:rsid w:val="001C45C5"/>
    <w:rsid w:val="001C4F0D"/>
    <w:rsid w:val="001C52C3"/>
    <w:rsid w:val="001C55CD"/>
    <w:rsid w:val="001C69D2"/>
    <w:rsid w:val="001C6B64"/>
    <w:rsid w:val="001C7D7B"/>
    <w:rsid w:val="001D0D87"/>
    <w:rsid w:val="001D12A9"/>
    <w:rsid w:val="001D1438"/>
    <w:rsid w:val="001D20C7"/>
    <w:rsid w:val="001D2BE3"/>
    <w:rsid w:val="001D32FF"/>
    <w:rsid w:val="001D4713"/>
    <w:rsid w:val="001D4C65"/>
    <w:rsid w:val="001D4F9C"/>
    <w:rsid w:val="001D56E4"/>
    <w:rsid w:val="001D5CB1"/>
    <w:rsid w:val="001D5FD4"/>
    <w:rsid w:val="001D60B5"/>
    <w:rsid w:val="001D7271"/>
    <w:rsid w:val="001E0FAC"/>
    <w:rsid w:val="001E12F1"/>
    <w:rsid w:val="001E15D8"/>
    <w:rsid w:val="001E1E26"/>
    <w:rsid w:val="001E1E7C"/>
    <w:rsid w:val="001E3852"/>
    <w:rsid w:val="001E4142"/>
    <w:rsid w:val="001E4481"/>
    <w:rsid w:val="001E4716"/>
    <w:rsid w:val="001E58A5"/>
    <w:rsid w:val="001E6542"/>
    <w:rsid w:val="001E6C97"/>
    <w:rsid w:val="001E70CB"/>
    <w:rsid w:val="001E7860"/>
    <w:rsid w:val="001F06C0"/>
    <w:rsid w:val="001F0929"/>
    <w:rsid w:val="001F0BC8"/>
    <w:rsid w:val="001F1076"/>
    <w:rsid w:val="001F1476"/>
    <w:rsid w:val="001F1504"/>
    <w:rsid w:val="001F1818"/>
    <w:rsid w:val="001F24F6"/>
    <w:rsid w:val="001F2C67"/>
    <w:rsid w:val="001F2E16"/>
    <w:rsid w:val="001F32E7"/>
    <w:rsid w:val="001F3EFC"/>
    <w:rsid w:val="001F4447"/>
    <w:rsid w:val="001F4641"/>
    <w:rsid w:val="001F47EF"/>
    <w:rsid w:val="001F4A0D"/>
    <w:rsid w:val="001F4BD4"/>
    <w:rsid w:val="001F50EC"/>
    <w:rsid w:val="001F5399"/>
    <w:rsid w:val="001F5402"/>
    <w:rsid w:val="001F5C38"/>
    <w:rsid w:val="001F5EFB"/>
    <w:rsid w:val="00200578"/>
    <w:rsid w:val="002007B9"/>
    <w:rsid w:val="002007F9"/>
    <w:rsid w:val="00201A6F"/>
    <w:rsid w:val="00202754"/>
    <w:rsid w:val="00202943"/>
    <w:rsid w:val="0020512C"/>
    <w:rsid w:val="00205279"/>
    <w:rsid w:val="00205E39"/>
    <w:rsid w:val="00205FF3"/>
    <w:rsid w:val="00206997"/>
    <w:rsid w:val="00206CFF"/>
    <w:rsid w:val="00207C29"/>
    <w:rsid w:val="00210420"/>
    <w:rsid w:val="002104DB"/>
    <w:rsid w:val="002107E2"/>
    <w:rsid w:val="00210938"/>
    <w:rsid w:val="00210C6D"/>
    <w:rsid w:val="002116DB"/>
    <w:rsid w:val="002125ED"/>
    <w:rsid w:val="00213154"/>
    <w:rsid w:val="002132A4"/>
    <w:rsid w:val="0021346F"/>
    <w:rsid w:val="002135E1"/>
    <w:rsid w:val="0021429E"/>
    <w:rsid w:val="002144E9"/>
    <w:rsid w:val="002150FB"/>
    <w:rsid w:val="00215F1C"/>
    <w:rsid w:val="002178E4"/>
    <w:rsid w:val="00217ADE"/>
    <w:rsid w:val="00220251"/>
    <w:rsid w:val="00220604"/>
    <w:rsid w:val="00220E23"/>
    <w:rsid w:val="00221AA7"/>
    <w:rsid w:val="002224F7"/>
    <w:rsid w:val="002237DA"/>
    <w:rsid w:val="0022423B"/>
    <w:rsid w:val="002246AE"/>
    <w:rsid w:val="00224C61"/>
    <w:rsid w:val="002253BC"/>
    <w:rsid w:val="00225754"/>
    <w:rsid w:val="00225F73"/>
    <w:rsid w:val="00227742"/>
    <w:rsid w:val="00227985"/>
    <w:rsid w:val="00230020"/>
    <w:rsid w:val="002300C3"/>
    <w:rsid w:val="00231874"/>
    <w:rsid w:val="00231ED7"/>
    <w:rsid w:val="00232A96"/>
    <w:rsid w:val="002330D7"/>
    <w:rsid w:val="00233B96"/>
    <w:rsid w:val="00234C6B"/>
    <w:rsid w:val="00235810"/>
    <w:rsid w:val="00235A8C"/>
    <w:rsid w:val="002361E8"/>
    <w:rsid w:val="00236D62"/>
    <w:rsid w:val="002371D7"/>
    <w:rsid w:val="00237593"/>
    <w:rsid w:val="00240B48"/>
    <w:rsid w:val="00240BE0"/>
    <w:rsid w:val="0024196E"/>
    <w:rsid w:val="00241DFE"/>
    <w:rsid w:val="00243825"/>
    <w:rsid w:val="00243B7C"/>
    <w:rsid w:val="00244678"/>
    <w:rsid w:val="00245C96"/>
    <w:rsid w:val="002463CD"/>
    <w:rsid w:val="002469FB"/>
    <w:rsid w:val="00247626"/>
    <w:rsid w:val="00247DC0"/>
    <w:rsid w:val="00250617"/>
    <w:rsid w:val="0025077A"/>
    <w:rsid w:val="0025114B"/>
    <w:rsid w:val="002511B7"/>
    <w:rsid w:val="002512C5"/>
    <w:rsid w:val="002513C8"/>
    <w:rsid w:val="00251AE5"/>
    <w:rsid w:val="00252715"/>
    <w:rsid w:val="00252E47"/>
    <w:rsid w:val="002538D9"/>
    <w:rsid w:val="00253924"/>
    <w:rsid w:val="00253A1B"/>
    <w:rsid w:val="00254045"/>
    <w:rsid w:val="002542A1"/>
    <w:rsid w:val="002550C2"/>
    <w:rsid w:val="00255A8C"/>
    <w:rsid w:val="0025654D"/>
    <w:rsid w:val="00256916"/>
    <w:rsid w:val="00256B4F"/>
    <w:rsid w:val="00256D02"/>
    <w:rsid w:val="00256D80"/>
    <w:rsid w:val="00256EF3"/>
    <w:rsid w:val="00257438"/>
    <w:rsid w:val="00257917"/>
    <w:rsid w:val="002600DC"/>
    <w:rsid w:val="00260C07"/>
    <w:rsid w:val="0026135C"/>
    <w:rsid w:val="0026204F"/>
    <w:rsid w:val="00262544"/>
    <w:rsid w:val="00262694"/>
    <w:rsid w:val="00263063"/>
    <w:rsid w:val="0026458B"/>
    <w:rsid w:val="00265F5B"/>
    <w:rsid w:val="0026619B"/>
    <w:rsid w:val="002668F0"/>
    <w:rsid w:val="002669BA"/>
    <w:rsid w:val="002672AF"/>
    <w:rsid w:val="00267B00"/>
    <w:rsid w:val="0027076A"/>
    <w:rsid w:val="00270F52"/>
    <w:rsid w:val="00271066"/>
    <w:rsid w:val="00271758"/>
    <w:rsid w:val="00271CE4"/>
    <w:rsid w:val="002729E1"/>
    <w:rsid w:val="00275070"/>
    <w:rsid w:val="00275721"/>
    <w:rsid w:val="002758FF"/>
    <w:rsid w:val="00275D70"/>
    <w:rsid w:val="0027618C"/>
    <w:rsid w:val="00276AAB"/>
    <w:rsid w:val="00276B98"/>
    <w:rsid w:val="00277038"/>
    <w:rsid w:val="00277148"/>
    <w:rsid w:val="00280810"/>
    <w:rsid w:val="00281093"/>
    <w:rsid w:val="002818CF"/>
    <w:rsid w:val="00281FAF"/>
    <w:rsid w:val="002836A3"/>
    <w:rsid w:val="002844EB"/>
    <w:rsid w:val="00286859"/>
    <w:rsid w:val="002874FB"/>
    <w:rsid w:val="00290153"/>
    <w:rsid w:val="00290294"/>
    <w:rsid w:val="0029106C"/>
    <w:rsid w:val="00291CF9"/>
    <w:rsid w:val="00291E2B"/>
    <w:rsid w:val="002921F9"/>
    <w:rsid w:val="00293E8D"/>
    <w:rsid w:val="00294775"/>
    <w:rsid w:val="00294AD1"/>
    <w:rsid w:val="0029528E"/>
    <w:rsid w:val="0029542D"/>
    <w:rsid w:val="00295CC5"/>
    <w:rsid w:val="00296680"/>
    <w:rsid w:val="002969D3"/>
    <w:rsid w:val="00296D96"/>
    <w:rsid w:val="00297285"/>
    <w:rsid w:val="00297780"/>
    <w:rsid w:val="00297AAD"/>
    <w:rsid w:val="002A0C4D"/>
    <w:rsid w:val="002A1694"/>
    <w:rsid w:val="002A2D4A"/>
    <w:rsid w:val="002A3D42"/>
    <w:rsid w:val="002A4443"/>
    <w:rsid w:val="002A614A"/>
    <w:rsid w:val="002A6371"/>
    <w:rsid w:val="002A6946"/>
    <w:rsid w:val="002A6A48"/>
    <w:rsid w:val="002A792C"/>
    <w:rsid w:val="002A7E56"/>
    <w:rsid w:val="002A7FD2"/>
    <w:rsid w:val="002B0442"/>
    <w:rsid w:val="002B0B5C"/>
    <w:rsid w:val="002B1465"/>
    <w:rsid w:val="002B1C8D"/>
    <w:rsid w:val="002B1CF1"/>
    <w:rsid w:val="002B279E"/>
    <w:rsid w:val="002B36E6"/>
    <w:rsid w:val="002B401B"/>
    <w:rsid w:val="002B4939"/>
    <w:rsid w:val="002B54E1"/>
    <w:rsid w:val="002B6F08"/>
    <w:rsid w:val="002B7009"/>
    <w:rsid w:val="002B7055"/>
    <w:rsid w:val="002B7189"/>
    <w:rsid w:val="002B7569"/>
    <w:rsid w:val="002C03B8"/>
    <w:rsid w:val="002C04D8"/>
    <w:rsid w:val="002C0B29"/>
    <w:rsid w:val="002C0BD1"/>
    <w:rsid w:val="002C0FE4"/>
    <w:rsid w:val="002C1ACB"/>
    <w:rsid w:val="002C2172"/>
    <w:rsid w:val="002C24D9"/>
    <w:rsid w:val="002C3C5E"/>
    <w:rsid w:val="002C3D8B"/>
    <w:rsid w:val="002C3FF8"/>
    <w:rsid w:val="002C4C0A"/>
    <w:rsid w:val="002C58C4"/>
    <w:rsid w:val="002C6388"/>
    <w:rsid w:val="002C6DD6"/>
    <w:rsid w:val="002C755D"/>
    <w:rsid w:val="002C7596"/>
    <w:rsid w:val="002C75F1"/>
    <w:rsid w:val="002C7722"/>
    <w:rsid w:val="002D0CA6"/>
    <w:rsid w:val="002D0E21"/>
    <w:rsid w:val="002D1FFD"/>
    <w:rsid w:val="002D2401"/>
    <w:rsid w:val="002D302B"/>
    <w:rsid w:val="002D319D"/>
    <w:rsid w:val="002D34B7"/>
    <w:rsid w:val="002D38E9"/>
    <w:rsid w:val="002D395C"/>
    <w:rsid w:val="002D3B66"/>
    <w:rsid w:val="002D474D"/>
    <w:rsid w:val="002D4838"/>
    <w:rsid w:val="002D48A4"/>
    <w:rsid w:val="002D4D16"/>
    <w:rsid w:val="002D5019"/>
    <w:rsid w:val="002D64E5"/>
    <w:rsid w:val="002D6617"/>
    <w:rsid w:val="002D6D1F"/>
    <w:rsid w:val="002D7417"/>
    <w:rsid w:val="002D7468"/>
    <w:rsid w:val="002E070A"/>
    <w:rsid w:val="002E112A"/>
    <w:rsid w:val="002E114E"/>
    <w:rsid w:val="002E123F"/>
    <w:rsid w:val="002E12C7"/>
    <w:rsid w:val="002E130A"/>
    <w:rsid w:val="002E28D8"/>
    <w:rsid w:val="002E3AEB"/>
    <w:rsid w:val="002E3FC4"/>
    <w:rsid w:val="002E4270"/>
    <w:rsid w:val="002E4635"/>
    <w:rsid w:val="002E5773"/>
    <w:rsid w:val="002E5E87"/>
    <w:rsid w:val="002E6069"/>
    <w:rsid w:val="002E63C0"/>
    <w:rsid w:val="002E6B36"/>
    <w:rsid w:val="002E7A44"/>
    <w:rsid w:val="002E7A6F"/>
    <w:rsid w:val="002E7FA1"/>
    <w:rsid w:val="002F165B"/>
    <w:rsid w:val="002F1700"/>
    <w:rsid w:val="002F1BFE"/>
    <w:rsid w:val="002F2249"/>
    <w:rsid w:val="002F2FA3"/>
    <w:rsid w:val="002F3546"/>
    <w:rsid w:val="002F396A"/>
    <w:rsid w:val="002F3A6B"/>
    <w:rsid w:val="002F4C25"/>
    <w:rsid w:val="002F5034"/>
    <w:rsid w:val="002F5237"/>
    <w:rsid w:val="002F6204"/>
    <w:rsid w:val="002F6799"/>
    <w:rsid w:val="00300917"/>
    <w:rsid w:val="00300B20"/>
    <w:rsid w:val="00300C2E"/>
    <w:rsid w:val="003015D7"/>
    <w:rsid w:val="00301D3E"/>
    <w:rsid w:val="00302C93"/>
    <w:rsid w:val="003041C9"/>
    <w:rsid w:val="003047D7"/>
    <w:rsid w:val="00304C65"/>
    <w:rsid w:val="00306335"/>
    <w:rsid w:val="0030686F"/>
    <w:rsid w:val="003077F6"/>
    <w:rsid w:val="00311682"/>
    <w:rsid w:val="00311AD2"/>
    <w:rsid w:val="00312208"/>
    <w:rsid w:val="0031283E"/>
    <w:rsid w:val="00314099"/>
    <w:rsid w:val="003145D6"/>
    <w:rsid w:val="00315438"/>
    <w:rsid w:val="003155C2"/>
    <w:rsid w:val="003164B2"/>
    <w:rsid w:val="003164F1"/>
    <w:rsid w:val="00317485"/>
    <w:rsid w:val="00317DA7"/>
    <w:rsid w:val="00321848"/>
    <w:rsid w:val="003218DC"/>
    <w:rsid w:val="003222DA"/>
    <w:rsid w:val="0032277D"/>
    <w:rsid w:val="00322A64"/>
    <w:rsid w:val="00322E60"/>
    <w:rsid w:val="0032306F"/>
    <w:rsid w:val="003231CE"/>
    <w:rsid w:val="003234AE"/>
    <w:rsid w:val="00323C9B"/>
    <w:rsid w:val="00323CD8"/>
    <w:rsid w:val="00323F71"/>
    <w:rsid w:val="0032452B"/>
    <w:rsid w:val="003251D6"/>
    <w:rsid w:val="00325247"/>
    <w:rsid w:val="0032627B"/>
    <w:rsid w:val="0032662B"/>
    <w:rsid w:val="003276BA"/>
    <w:rsid w:val="00327B38"/>
    <w:rsid w:val="00327BB6"/>
    <w:rsid w:val="00327E13"/>
    <w:rsid w:val="00330B17"/>
    <w:rsid w:val="003312F1"/>
    <w:rsid w:val="003314DF"/>
    <w:rsid w:val="00331BBA"/>
    <w:rsid w:val="00331DDD"/>
    <w:rsid w:val="00332D2C"/>
    <w:rsid w:val="00334124"/>
    <w:rsid w:val="00334900"/>
    <w:rsid w:val="00334D6A"/>
    <w:rsid w:val="003356CE"/>
    <w:rsid w:val="003356D5"/>
    <w:rsid w:val="003358B9"/>
    <w:rsid w:val="003359F0"/>
    <w:rsid w:val="00336547"/>
    <w:rsid w:val="00336981"/>
    <w:rsid w:val="00336C1E"/>
    <w:rsid w:val="00336C24"/>
    <w:rsid w:val="0033718E"/>
    <w:rsid w:val="00337935"/>
    <w:rsid w:val="00340297"/>
    <w:rsid w:val="00341741"/>
    <w:rsid w:val="00341C0D"/>
    <w:rsid w:val="00341C5C"/>
    <w:rsid w:val="00341DED"/>
    <w:rsid w:val="003425E8"/>
    <w:rsid w:val="00342A0A"/>
    <w:rsid w:val="00343013"/>
    <w:rsid w:val="00343B4D"/>
    <w:rsid w:val="00343F31"/>
    <w:rsid w:val="00343FB1"/>
    <w:rsid w:val="00344244"/>
    <w:rsid w:val="0034575E"/>
    <w:rsid w:val="00345920"/>
    <w:rsid w:val="00345A87"/>
    <w:rsid w:val="00345FFE"/>
    <w:rsid w:val="003461E5"/>
    <w:rsid w:val="00346F01"/>
    <w:rsid w:val="00347396"/>
    <w:rsid w:val="00347806"/>
    <w:rsid w:val="00347B1E"/>
    <w:rsid w:val="00351755"/>
    <w:rsid w:val="00351C64"/>
    <w:rsid w:val="00351EC4"/>
    <w:rsid w:val="0035322E"/>
    <w:rsid w:val="00354029"/>
    <w:rsid w:val="00355682"/>
    <w:rsid w:val="00355A40"/>
    <w:rsid w:val="00356165"/>
    <w:rsid w:val="00356206"/>
    <w:rsid w:val="003563F4"/>
    <w:rsid w:val="003570B8"/>
    <w:rsid w:val="003571CD"/>
    <w:rsid w:val="0035745A"/>
    <w:rsid w:val="00357A3F"/>
    <w:rsid w:val="00360722"/>
    <w:rsid w:val="003620BA"/>
    <w:rsid w:val="0036254D"/>
    <w:rsid w:val="00362C70"/>
    <w:rsid w:val="00362CA5"/>
    <w:rsid w:val="00363011"/>
    <w:rsid w:val="003634B5"/>
    <w:rsid w:val="00363881"/>
    <w:rsid w:val="00363D7B"/>
    <w:rsid w:val="00364EA0"/>
    <w:rsid w:val="003657F6"/>
    <w:rsid w:val="00365B3B"/>
    <w:rsid w:val="00366182"/>
    <w:rsid w:val="0036676D"/>
    <w:rsid w:val="003667C5"/>
    <w:rsid w:val="003669D9"/>
    <w:rsid w:val="00366DE6"/>
    <w:rsid w:val="00370387"/>
    <w:rsid w:val="00370470"/>
    <w:rsid w:val="003706D5"/>
    <w:rsid w:val="00370D0D"/>
    <w:rsid w:val="00370D24"/>
    <w:rsid w:val="003710CC"/>
    <w:rsid w:val="0037180C"/>
    <w:rsid w:val="00372389"/>
    <w:rsid w:val="00372B72"/>
    <w:rsid w:val="00373232"/>
    <w:rsid w:val="00373986"/>
    <w:rsid w:val="00373BEE"/>
    <w:rsid w:val="0037497B"/>
    <w:rsid w:val="00374E23"/>
    <w:rsid w:val="00375115"/>
    <w:rsid w:val="00375329"/>
    <w:rsid w:val="00375CB4"/>
    <w:rsid w:val="003768F6"/>
    <w:rsid w:val="003770CF"/>
    <w:rsid w:val="00377AD1"/>
    <w:rsid w:val="00380548"/>
    <w:rsid w:val="00381397"/>
    <w:rsid w:val="00381B75"/>
    <w:rsid w:val="00381EB8"/>
    <w:rsid w:val="00382860"/>
    <w:rsid w:val="00383814"/>
    <w:rsid w:val="003839C7"/>
    <w:rsid w:val="003839D8"/>
    <w:rsid w:val="00383CAC"/>
    <w:rsid w:val="0038432F"/>
    <w:rsid w:val="0038445C"/>
    <w:rsid w:val="00385001"/>
    <w:rsid w:val="003851D3"/>
    <w:rsid w:val="003853DC"/>
    <w:rsid w:val="00385F3A"/>
    <w:rsid w:val="00387EC6"/>
    <w:rsid w:val="003912D3"/>
    <w:rsid w:val="0039182A"/>
    <w:rsid w:val="003919D9"/>
    <w:rsid w:val="003924CF"/>
    <w:rsid w:val="00392C3A"/>
    <w:rsid w:val="00392DF2"/>
    <w:rsid w:val="003931A3"/>
    <w:rsid w:val="00393EFB"/>
    <w:rsid w:val="00394026"/>
    <w:rsid w:val="0039433D"/>
    <w:rsid w:val="00394864"/>
    <w:rsid w:val="00395DFD"/>
    <w:rsid w:val="003961BB"/>
    <w:rsid w:val="00396733"/>
    <w:rsid w:val="00396E51"/>
    <w:rsid w:val="00397073"/>
    <w:rsid w:val="003A0174"/>
    <w:rsid w:val="003A031A"/>
    <w:rsid w:val="003A07CF"/>
    <w:rsid w:val="003A0A14"/>
    <w:rsid w:val="003A0B5B"/>
    <w:rsid w:val="003A1EA5"/>
    <w:rsid w:val="003A27D3"/>
    <w:rsid w:val="003A2CC1"/>
    <w:rsid w:val="003A311F"/>
    <w:rsid w:val="003A3512"/>
    <w:rsid w:val="003A4311"/>
    <w:rsid w:val="003A442C"/>
    <w:rsid w:val="003A4E9A"/>
    <w:rsid w:val="003A5064"/>
    <w:rsid w:val="003A5575"/>
    <w:rsid w:val="003A570B"/>
    <w:rsid w:val="003A58E6"/>
    <w:rsid w:val="003A5B57"/>
    <w:rsid w:val="003A5D2D"/>
    <w:rsid w:val="003A6304"/>
    <w:rsid w:val="003A6415"/>
    <w:rsid w:val="003A64FC"/>
    <w:rsid w:val="003A6590"/>
    <w:rsid w:val="003B00B2"/>
    <w:rsid w:val="003B05D3"/>
    <w:rsid w:val="003B07A9"/>
    <w:rsid w:val="003B10E7"/>
    <w:rsid w:val="003B13C6"/>
    <w:rsid w:val="003B15B9"/>
    <w:rsid w:val="003B1A3E"/>
    <w:rsid w:val="003B1FA4"/>
    <w:rsid w:val="003B2566"/>
    <w:rsid w:val="003B28DE"/>
    <w:rsid w:val="003B2F56"/>
    <w:rsid w:val="003B3165"/>
    <w:rsid w:val="003B3536"/>
    <w:rsid w:val="003B3809"/>
    <w:rsid w:val="003B3CBE"/>
    <w:rsid w:val="003B4C97"/>
    <w:rsid w:val="003B4EB1"/>
    <w:rsid w:val="003B511B"/>
    <w:rsid w:val="003B5663"/>
    <w:rsid w:val="003B5B1C"/>
    <w:rsid w:val="003B63C2"/>
    <w:rsid w:val="003B6AD0"/>
    <w:rsid w:val="003B6BD5"/>
    <w:rsid w:val="003B6F44"/>
    <w:rsid w:val="003B7043"/>
    <w:rsid w:val="003C1DFA"/>
    <w:rsid w:val="003C269E"/>
    <w:rsid w:val="003C3756"/>
    <w:rsid w:val="003C38A2"/>
    <w:rsid w:val="003C3AD4"/>
    <w:rsid w:val="003C4022"/>
    <w:rsid w:val="003C4BCF"/>
    <w:rsid w:val="003C506B"/>
    <w:rsid w:val="003C570B"/>
    <w:rsid w:val="003C6B5D"/>
    <w:rsid w:val="003C7405"/>
    <w:rsid w:val="003C76C5"/>
    <w:rsid w:val="003C7B58"/>
    <w:rsid w:val="003C7EDB"/>
    <w:rsid w:val="003D0A31"/>
    <w:rsid w:val="003D0D30"/>
    <w:rsid w:val="003D0E96"/>
    <w:rsid w:val="003D14B8"/>
    <w:rsid w:val="003D1869"/>
    <w:rsid w:val="003D1C04"/>
    <w:rsid w:val="003D1DEE"/>
    <w:rsid w:val="003D1F41"/>
    <w:rsid w:val="003D2C6D"/>
    <w:rsid w:val="003D2D96"/>
    <w:rsid w:val="003D307D"/>
    <w:rsid w:val="003D36B8"/>
    <w:rsid w:val="003D41A5"/>
    <w:rsid w:val="003D4426"/>
    <w:rsid w:val="003D4571"/>
    <w:rsid w:val="003D4FEB"/>
    <w:rsid w:val="003D531F"/>
    <w:rsid w:val="003D53F3"/>
    <w:rsid w:val="003D5D79"/>
    <w:rsid w:val="003D7A3F"/>
    <w:rsid w:val="003D7C0F"/>
    <w:rsid w:val="003E003B"/>
    <w:rsid w:val="003E06ED"/>
    <w:rsid w:val="003E11FE"/>
    <w:rsid w:val="003E17BF"/>
    <w:rsid w:val="003E1967"/>
    <w:rsid w:val="003E1EF5"/>
    <w:rsid w:val="003E2070"/>
    <w:rsid w:val="003E341F"/>
    <w:rsid w:val="003E4650"/>
    <w:rsid w:val="003E46F5"/>
    <w:rsid w:val="003E6BDD"/>
    <w:rsid w:val="003E6D2B"/>
    <w:rsid w:val="003E7B83"/>
    <w:rsid w:val="003E7DFF"/>
    <w:rsid w:val="003F0584"/>
    <w:rsid w:val="003F14C5"/>
    <w:rsid w:val="003F1C6A"/>
    <w:rsid w:val="003F1D57"/>
    <w:rsid w:val="003F2CE6"/>
    <w:rsid w:val="003F2F0E"/>
    <w:rsid w:val="003F30C6"/>
    <w:rsid w:val="003F3212"/>
    <w:rsid w:val="003F3B21"/>
    <w:rsid w:val="003F5F04"/>
    <w:rsid w:val="003F6E8E"/>
    <w:rsid w:val="003F7094"/>
    <w:rsid w:val="003F70A6"/>
    <w:rsid w:val="003F78B4"/>
    <w:rsid w:val="003F7B0D"/>
    <w:rsid w:val="003F7FBB"/>
    <w:rsid w:val="004001E3"/>
    <w:rsid w:val="004015C9"/>
    <w:rsid w:val="00401C22"/>
    <w:rsid w:val="004023A5"/>
    <w:rsid w:val="00402963"/>
    <w:rsid w:val="00402B81"/>
    <w:rsid w:val="004034D2"/>
    <w:rsid w:val="00404561"/>
    <w:rsid w:val="00404F27"/>
    <w:rsid w:val="00404F3A"/>
    <w:rsid w:val="0040557C"/>
    <w:rsid w:val="00405A2A"/>
    <w:rsid w:val="00405C24"/>
    <w:rsid w:val="00405EF7"/>
    <w:rsid w:val="00406358"/>
    <w:rsid w:val="004068CD"/>
    <w:rsid w:val="00406C93"/>
    <w:rsid w:val="00407550"/>
    <w:rsid w:val="00407F22"/>
    <w:rsid w:val="004106F9"/>
    <w:rsid w:val="00411097"/>
    <w:rsid w:val="00411489"/>
    <w:rsid w:val="004114D0"/>
    <w:rsid w:val="004125B1"/>
    <w:rsid w:val="004134BB"/>
    <w:rsid w:val="00413819"/>
    <w:rsid w:val="004138CE"/>
    <w:rsid w:val="00413EB8"/>
    <w:rsid w:val="00414589"/>
    <w:rsid w:val="004148F7"/>
    <w:rsid w:val="00414990"/>
    <w:rsid w:val="00414E01"/>
    <w:rsid w:val="004153E5"/>
    <w:rsid w:val="00415644"/>
    <w:rsid w:val="00415BBE"/>
    <w:rsid w:val="00415D87"/>
    <w:rsid w:val="00415E50"/>
    <w:rsid w:val="0041674E"/>
    <w:rsid w:val="0041676F"/>
    <w:rsid w:val="0041688C"/>
    <w:rsid w:val="00416895"/>
    <w:rsid w:val="0042034B"/>
    <w:rsid w:val="004206E7"/>
    <w:rsid w:val="004206E8"/>
    <w:rsid w:val="00423041"/>
    <w:rsid w:val="00423154"/>
    <w:rsid w:val="004241AA"/>
    <w:rsid w:val="004250D3"/>
    <w:rsid w:val="0042525C"/>
    <w:rsid w:val="0042556C"/>
    <w:rsid w:val="004257F7"/>
    <w:rsid w:val="00426A2D"/>
    <w:rsid w:val="00426F3B"/>
    <w:rsid w:val="004300E7"/>
    <w:rsid w:val="004303A0"/>
    <w:rsid w:val="004304A2"/>
    <w:rsid w:val="004317D0"/>
    <w:rsid w:val="00431983"/>
    <w:rsid w:val="004329A8"/>
    <w:rsid w:val="00433372"/>
    <w:rsid w:val="00433783"/>
    <w:rsid w:val="00433A4A"/>
    <w:rsid w:val="00433BE5"/>
    <w:rsid w:val="00434E6B"/>
    <w:rsid w:val="00434EFE"/>
    <w:rsid w:val="004356A8"/>
    <w:rsid w:val="00436C0B"/>
    <w:rsid w:val="0043749D"/>
    <w:rsid w:val="00437A38"/>
    <w:rsid w:val="00437BB4"/>
    <w:rsid w:val="00437E92"/>
    <w:rsid w:val="004407A5"/>
    <w:rsid w:val="00440D8B"/>
    <w:rsid w:val="00442569"/>
    <w:rsid w:val="0044276B"/>
    <w:rsid w:val="00442BB9"/>
    <w:rsid w:val="00443761"/>
    <w:rsid w:val="00443859"/>
    <w:rsid w:val="004440DD"/>
    <w:rsid w:val="004445F0"/>
    <w:rsid w:val="00445AEB"/>
    <w:rsid w:val="0044639F"/>
    <w:rsid w:val="00446733"/>
    <w:rsid w:val="00446A5D"/>
    <w:rsid w:val="00446B32"/>
    <w:rsid w:val="00446C61"/>
    <w:rsid w:val="00447E41"/>
    <w:rsid w:val="0045027D"/>
    <w:rsid w:val="004504DB"/>
    <w:rsid w:val="00450921"/>
    <w:rsid w:val="00450C3D"/>
    <w:rsid w:val="004512B6"/>
    <w:rsid w:val="00451415"/>
    <w:rsid w:val="00451743"/>
    <w:rsid w:val="00451AB0"/>
    <w:rsid w:val="00451CED"/>
    <w:rsid w:val="004526EC"/>
    <w:rsid w:val="00452894"/>
    <w:rsid w:val="004543BC"/>
    <w:rsid w:val="00454DE8"/>
    <w:rsid w:val="0045511F"/>
    <w:rsid w:val="00455CCE"/>
    <w:rsid w:val="00455E74"/>
    <w:rsid w:val="004564F2"/>
    <w:rsid w:val="0045717B"/>
    <w:rsid w:val="004577C8"/>
    <w:rsid w:val="004579A2"/>
    <w:rsid w:val="00457A4D"/>
    <w:rsid w:val="00460891"/>
    <w:rsid w:val="00460E14"/>
    <w:rsid w:val="00460E16"/>
    <w:rsid w:val="0046105F"/>
    <w:rsid w:val="004613BF"/>
    <w:rsid w:val="00462100"/>
    <w:rsid w:val="004624F9"/>
    <w:rsid w:val="004628DE"/>
    <w:rsid w:val="00463276"/>
    <w:rsid w:val="004647CE"/>
    <w:rsid w:val="00464C15"/>
    <w:rsid w:val="00464CBC"/>
    <w:rsid w:val="004650E1"/>
    <w:rsid w:val="004652CF"/>
    <w:rsid w:val="004654E8"/>
    <w:rsid w:val="00466422"/>
    <w:rsid w:val="00466B0E"/>
    <w:rsid w:val="0046767E"/>
    <w:rsid w:val="00470923"/>
    <w:rsid w:val="00470EEA"/>
    <w:rsid w:val="00470FF5"/>
    <w:rsid w:val="00471188"/>
    <w:rsid w:val="00471707"/>
    <w:rsid w:val="0047247B"/>
    <w:rsid w:val="00472CD0"/>
    <w:rsid w:val="004735E0"/>
    <w:rsid w:val="004735F8"/>
    <w:rsid w:val="00473FE7"/>
    <w:rsid w:val="0047429F"/>
    <w:rsid w:val="00474430"/>
    <w:rsid w:val="00474C14"/>
    <w:rsid w:val="00476C1C"/>
    <w:rsid w:val="00476F63"/>
    <w:rsid w:val="00477A33"/>
    <w:rsid w:val="004802A3"/>
    <w:rsid w:val="00481B47"/>
    <w:rsid w:val="00481E09"/>
    <w:rsid w:val="004825F3"/>
    <w:rsid w:val="004829BF"/>
    <w:rsid w:val="00482B9A"/>
    <w:rsid w:val="004830EF"/>
    <w:rsid w:val="004836F0"/>
    <w:rsid w:val="00483B51"/>
    <w:rsid w:val="00483EE6"/>
    <w:rsid w:val="0048557F"/>
    <w:rsid w:val="00485C3B"/>
    <w:rsid w:val="00485FB7"/>
    <w:rsid w:val="00486009"/>
    <w:rsid w:val="00486B2F"/>
    <w:rsid w:val="00486CC7"/>
    <w:rsid w:val="00486D1C"/>
    <w:rsid w:val="00486F24"/>
    <w:rsid w:val="004878D6"/>
    <w:rsid w:val="004902F1"/>
    <w:rsid w:val="00490C6E"/>
    <w:rsid w:val="00490D86"/>
    <w:rsid w:val="0049166E"/>
    <w:rsid w:val="00491902"/>
    <w:rsid w:val="0049197B"/>
    <w:rsid w:val="00491AB1"/>
    <w:rsid w:val="00491EF2"/>
    <w:rsid w:val="00493371"/>
    <w:rsid w:val="00493911"/>
    <w:rsid w:val="004967C8"/>
    <w:rsid w:val="00496FDE"/>
    <w:rsid w:val="004A027C"/>
    <w:rsid w:val="004A02B6"/>
    <w:rsid w:val="004A0383"/>
    <w:rsid w:val="004A0634"/>
    <w:rsid w:val="004A0CF4"/>
    <w:rsid w:val="004A1DA0"/>
    <w:rsid w:val="004A23F8"/>
    <w:rsid w:val="004A2A50"/>
    <w:rsid w:val="004A2A63"/>
    <w:rsid w:val="004A3301"/>
    <w:rsid w:val="004A397E"/>
    <w:rsid w:val="004A3EA8"/>
    <w:rsid w:val="004A4C6A"/>
    <w:rsid w:val="004A4D75"/>
    <w:rsid w:val="004A5482"/>
    <w:rsid w:val="004A69E4"/>
    <w:rsid w:val="004B07E4"/>
    <w:rsid w:val="004B1F26"/>
    <w:rsid w:val="004B28BF"/>
    <w:rsid w:val="004B2ED7"/>
    <w:rsid w:val="004B2F42"/>
    <w:rsid w:val="004B32E7"/>
    <w:rsid w:val="004B3B64"/>
    <w:rsid w:val="004B3EB1"/>
    <w:rsid w:val="004B3F69"/>
    <w:rsid w:val="004B46D5"/>
    <w:rsid w:val="004B46F6"/>
    <w:rsid w:val="004B506F"/>
    <w:rsid w:val="004B50EC"/>
    <w:rsid w:val="004B51E8"/>
    <w:rsid w:val="004B617B"/>
    <w:rsid w:val="004B646F"/>
    <w:rsid w:val="004B67F9"/>
    <w:rsid w:val="004B68ED"/>
    <w:rsid w:val="004B7129"/>
    <w:rsid w:val="004B725C"/>
    <w:rsid w:val="004C01CD"/>
    <w:rsid w:val="004C03E5"/>
    <w:rsid w:val="004C0A33"/>
    <w:rsid w:val="004C0A47"/>
    <w:rsid w:val="004C0B53"/>
    <w:rsid w:val="004C37C6"/>
    <w:rsid w:val="004C61FC"/>
    <w:rsid w:val="004C6BFA"/>
    <w:rsid w:val="004C6C68"/>
    <w:rsid w:val="004C6EF1"/>
    <w:rsid w:val="004C7362"/>
    <w:rsid w:val="004C74AC"/>
    <w:rsid w:val="004C7B81"/>
    <w:rsid w:val="004C7BE1"/>
    <w:rsid w:val="004C7D84"/>
    <w:rsid w:val="004C7F1E"/>
    <w:rsid w:val="004D05CC"/>
    <w:rsid w:val="004D0704"/>
    <w:rsid w:val="004D0D08"/>
    <w:rsid w:val="004D1007"/>
    <w:rsid w:val="004D144E"/>
    <w:rsid w:val="004D2001"/>
    <w:rsid w:val="004D22D9"/>
    <w:rsid w:val="004D2B6B"/>
    <w:rsid w:val="004D311C"/>
    <w:rsid w:val="004D31A2"/>
    <w:rsid w:val="004D383E"/>
    <w:rsid w:val="004D3FCD"/>
    <w:rsid w:val="004D40B0"/>
    <w:rsid w:val="004D412B"/>
    <w:rsid w:val="004D4608"/>
    <w:rsid w:val="004D4B6C"/>
    <w:rsid w:val="004D4BEF"/>
    <w:rsid w:val="004D65DF"/>
    <w:rsid w:val="004E01C5"/>
    <w:rsid w:val="004E02BA"/>
    <w:rsid w:val="004E177E"/>
    <w:rsid w:val="004E2666"/>
    <w:rsid w:val="004E40EF"/>
    <w:rsid w:val="004E4427"/>
    <w:rsid w:val="004E5608"/>
    <w:rsid w:val="004E6836"/>
    <w:rsid w:val="004E6B72"/>
    <w:rsid w:val="004E74A0"/>
    <w:rsid w:val="004E7836"/>
    <w:rsid w:val="004E798E"/>
    <w:rsid w:val="004F0210"/>
    <w:rsid w:val="004F040D"/>
    <w:rsid w:val="004F0DBA"/>
    <w:rsid w:val="004F0EF4"/>
    <w:rsid w:val="004F1602"/>
    <w:rsid w:val="004F1B1D"/>
    <w:rsid w:val="004F2398"/>
    <w:rsid w:val="004F2451"/>
    <w:rsid w:val="004F336F"/>
    <w:rsid w:val="004F38E1"/>
    <w:rsid w:val="004F4357"/>
    <w:rsid w:val="004F5161"/>
    <w:rsid w:val="004F67F6"/>
    <w:rsid w:val="004F6E5E"/>
    <w:rsid w:val="004F7882"/>
    <w:rsid w:val="004F78E0"/>
    <w:rsid w:val="005000B9"/>
    <w:rsid w:val="00500513"/>
    <w:rsid w:val="0050110A"/>
    <w:rsid w:val="00501546"/>
    <w:rsid w:val="0050175D"/>
    <w:rsid w:val="00501BF2"/>
    <w:rsid w:val="00502826"/>
    <w:rsid w:val="00502E54"/>
    <w:rsid w:val="00502F9C"/>
    <w:rsid w:val="00503DB7"/>
    <w:rsid w:val="00505553"/>
    <w:rsid w:val="005059F0"/>
    <w:rsid w:val="00506B55"/>
    <w:rsid w:val="00507454"/>
    <w:rsid w:val="00507BC9"/>
    <w:rsid w:val="00507D9E"/>
    <w:rsid w:val="00510C72"/>
    <w:rsid w:val="005115F1"/>
    <w:rsid w:val="00511923"/>
    <w:rsid w:val="005120D6"/>
    <w:rsid w:val="00512298"/>
    <w:rsid w:val="005128AB"/>
    <w:rsid w:val="00512C93"/>
    <w:rsid w:val="00512DFE"/>
    <w:rsid w:val="00512F45"/>
    <w:rsid w:val="005131FA"/>
    <w:rsid w:val="00513EA2"/>
    <w:rsid w:val="0051466E"/>
    <w:rsid w:val="00515752"/>
    <w:rsid w:val="005158DC"/>
    <w:rsid w:val="00515ACA"/>
    <w:rsid w:val="00515C9E"/>
    <w:rsid w:val="005163A8"/>
    <w:rsid w:val="00516530"/>
    <w:rsid w:val="00516677"/>
    <w:rsid w:val="00521D3C"/>
    <w:rsid w:val="00522144"/>
    <w:rsid w:val="0052227A"/>
    <w:rsid w:val="005231F2"/>
    <w:rsid w:val="00524B98"/>
    <w:rsid w:val="00525CF5"/>
    <w:rsid w:val="00525DB1"/>
    <w:rsid w:val="00525E90"/>
    <w:rsid w:val="005268A2"/>
    <w:rsid w:val="00526972"/>
    <w:rsid w:val="00527409"/>
    <w:rsid w:val="00527567"/>
    <w:rsid w:val="005278E2"/>
    <w:rsid w:val="00527AA8"/>
    <w:rsid w:val="00527C9E"/>
    <w:rsid w:val="005302E5"/>
    <w:rsid w:val="00531A98"/>
    <w:rsid w:val="00531F28"/>
    <w:rsid w:val="00533CC9"/>
    <w:rsid w:val="00534337"/>
    <w:rsid w:val="00534624"/>
    <w:rsid w:val="00534C52"/>
    <w:rsid w:val="00535EE8"/>
    <w:rsid w:val="00536327"/>
    <w:rsid w:val="00536DCA"/>
    <w:rsid w:val="00540089"/>
    <w:rsid w:val="00540D8F"/>
    <w:rsid w:val="00541DFC"/>
    <w:rsid w:val="00543254"/>
    <w:rsid w:val="00543771"/>
    <w:rsid w:val="005448BB"/>
    <w:rsid w:val="00544A0A"/>
    <w:rsid w:val="00544F69"/>
    <w:rsid w:val="00544FDF"/>
    <w:rsid w:val="005458A3"/>
    <w:rsid w:val="00545AFA"/>
    <w:rsid w:val="00545ED1"/>
    <w:rsid w:val="0054613D"/>
    <w:rsid w:val="0054618D"/>
    <w:rsid w:val="00547363"/>
    <w:rsid w:val="00547C4D"/>
    <w:rsid w:val="005508A0"/>
    <w:rsid w:val="005514B6"/>
    <w:rsid w:val="00551742"/>
    <w:rsid w:val="005518D5"/>
    <w:rsid w:val="00552149"/>
    <w:rsid w:val="005529A0"/>
    <w:rsid w:val="00553343"/>
    <w:rsid w:val="005536F0"/>
    <w:rsid w:val="00553AC3"/>
    <w:rsid w:val="00554308"/>
    <w:rsid w:val="0055470B"/>
    <w:rsid w:val="00554C81"/>
    <w:rsid w:val="00555566"/>
    <w:rsid w:val="005556E3"/>
    <w:rsid w:val="00555F08"/>
    <w:rsid w:val="0055704D"/>
    <w:rsid w:val="005571C8"/>
    <w:rsid w:val="005573E0"/>
    <w:rsid w:val="00557CE1"/>
    <w:rsid w:val="00557D04"/>
    <w:rsid w:val="00560315"/>
    <w:rsid w:val="00560AE0"/>
    <w:rsid w:val="00561745"/>
    <w:rsid w:val="0056184F"/>
    <w:rsid w:val="00562106"/>
    <w:rsid w:val="00562A6A"/>
    <w:rsid w:val="0056426B"/>
    <w:rsid w:val="00564937"/>
    <w:rsid w:val="00565D2D"/>
    <w:rsid w:val="00566430"/>
    <w:rsid w:val="00566FD5"/>
    <w:rsid w:val="00567B79"/>
    <w:rsid w:val="00567C85"/>
    <w:rsid w:val="00567DDE"/>
    <w:rsid w:val="00570285"/>
    <w:rsid w:val="005703F4"/>
    <w:rsid w:val="00570732"/>
    <w:rsid w:val="00570F62"/>
    <w:rsid w:val="00571E40"/>
    <w:rsid w:val="00572BB1"/>
    <w:rsid w:val="00572EBD"/>
    <w:rsid w:val="00573393"/>
    <w:rsid w:val="00574490"/>
    <w:rsid w:val="00575842"/>
    <w:rsid w:val="00575F6E"/>
    <w:rsid w:val="00576442"/>
    <w:rsid w:val="005767E3"/>
    <w:rsid w:val="005768E1"/>
    <w:rsid w:val="00576A05"/>
    <w:rsid w:val="00576D04"/>
    <w:rsid w:val="00577065"/>
    <w:rsid w:val="00580705"/>
    <w:rsid w:val="00580CFC"/>
    <w:rsid w:val="00580EEB"/>
    <w:rsid w:val="00581AC7"/>
    <w:rsid w:val="00581B1C"/>
    <w:rsid w:val="00581B43"/>
    <w:rsid w:val="00582336"/>
    <w:rsid w:val="00582349"/>
    <w:rsid w:val="005825A4"/>
    <w:rsid w:val="00582B96"/>
    <w:rsid w:val="00583390"/>
    <w:rsid w:val="005837CD"/>
    <w:rsid w:val="00583D1E"/>
    <w:rsid w:val="005844F5"/>
    <w:rsid w:val="005844FE"/>
    <w:rsid w:val="00584D0B"/>
    <w:rsid w:val="0058541C"/>
    <w:rsid w:val="005856BC"/>
    <w:rsid w:val="00585910"/>
    <w:rsid w:val="00585D1D"/>
    <w:rsid w:val="00585EFD"/>
    <w:rsid w:val="00585F22"/>
    <w:rsid w:val="0058627A"/>
    <w:rsid w:val="00587DA4"/>
    <w:rsid w:val="00590021"/>
    <w:rsid w:val="00590E39"/>
    <w:rsid w:val="005918FF"/>
    <w:rsid w:val="0059190D"/>
    <w:rsid w:val="00591A7D"/>
    <w:rsid w:val="00591C8B"/>
    <w:rsid w:val="00591CFE"/>
    <w:rsid w:val="0059222B"/>
    <w:rsid w:val="00592AD0"/>
    <w:rsid w:val="00593E7F"/>
    <w:rsid w:val="005949D8"/>
    <w:rsid w:val="00595E04"/>
    <w:rsid w:val="0059613C"/>
    <w:rsid w:val="00596E8F"/>
    <w:rsid w:val="005974E0"/>
    <w:rsid w:val="00597775"/>
    <w:rsid w:val="0059786F"/>
    <w:rsid w:val="005A0260"/>
    <w:rsid w:val="005A05F3"/>
    <w:rsid w:val="005A0F7C"/>
    <w:rsid w:val="005A19CD"/>
    <w:rsid w:val="005A1A9E"/>
    <w:rsid w:val="005A20AE"/>
    <w:rsid w:val="005A2476"/>
    <w:rsid w:val="005A25D4"/>
    <w:rsid w:val="005A2F46"/>
    <w:rsid w:val="005A346A"/>
    <w:rsid w:val="005A43DE"/>
    <w:rsid w:val="005A4E5D"/>
    <w:rsid w:val="005A539A"/>
    <w:rsid w:val="005A5DA1"/>
    <w:rsid w:val="005A5E35"/>
    <w:rsid w:val="005A72CC"/>
    <w:rsid w:val="005A79C2"/>
    <w:rsid w:val="005B0076"/>
    <w:rsid w:val="005B0864"/>
    <w:rsid w:val="005B1709"/>
    <w:rsid w:val="005B1804"/>
    <w:rsid w:val="005B1C0E"/>
    <w:rsid w:val="005B2CFF"/>
    <w:rsid w:val="005B2ECF"/>
    <w:rsid w:val="005B3BC0"/>
    <w:rsid w:val="005B3C0F"/>
    <w:rsid w:val="005B5132"/>
    <w:rsid w:val="005B531D"/>
    <w:rsid w:val="005B5CD6"/>
    <w:rsid w:val="005B6094"/>
    <w:rsid w:val="005B6137"/>
    <w:rsid w:val="005B6450"/>
    <w:rsid w:val="005B6628"/>
    <w:rsid w:val="005B6896"/>
    <w:rsid w:val="005B767D"/>
    <w:rsid w:val="005C038E"/>
    <w:rsid w:val="005C04D9"/>
    <w:rsid w:val="005C072C"/>
    <w:rsid w:val="005C0D88"/>
    <w:rsid w:val="005C0FB2"/>
    <w:rsid w:val="005C13FF"/>
    <w:rsid w:val="005C2352"/>
    <w:rsid w:val="005C2459"/>
    <w:rsid w:val="005C289A"/>
    <w:rsid w:val="005C28AD"/>
    <w:rsid w:val="005C2CCA"/>
    <w:rsid w:val="005C2E37"/>
    <w:rsid w:val="005C4B01"/>
    <w:rsid w:val="005C4B83"/>
    <w:rsid w:val="005C4BF7"/>
    <w:rsid w:val="005C4DCD"/>
    <w:rsid w:val="005C4E1B"/>
    <w:rsid w:val="005C4F7F"/>
    <w:rsid w:val="005C4FF2"/>
    <w:rsid w:val="005C51B6"/>
    <w:rsid w:val="005C59A1"/>
    <w:rsid w:val="005C61EB"/>
    <w:rsid w:val="005C65A8"/>
    <w:rsid w:val="005C6654"/>
    <w:rsid w:val="005C6725"/>
    <w:rsid w:val="005C67A5"/>
    <w:rsid w:val="005D01D3"/>
    <w:rsid w:val="005D0CBE"/>
    <w:rsid w:val="005D1F97"/>
    <w:rsid w:val="005D2602"/>
    <w:rsid w:val="005D315B"/>
    <w:rsid w:val="005D3434"/>
    <w:rsid w:val="005D463B"/>
    <w:rsid w:val="005D46DC"/>
    <w:rsid w:val="005D4F55"/>
    <w:rsid w:val="005D5514"/>
    <w:rsid w:val="005D5C1A"/>
    <w:rsid w:val="005D6C3B"/>
    <w:rsid w:val="005D6EC9"/>
    <w:rsid w:val="005E000B"/>
    <w:rsid w:val="005E11DB"/>
    <w:rsid w:val="005E1D8A"/>
    <w:rsid w:val="005E1F2F"/>
    <w:rsid w:val="005E2CE8"/>
    <w:rsid w:val="005E2DFD"/>
    <w:rsid w:val="005E32AC"/>
    <w:rsid w:val="005E3F0D"/>
    <w:rsid w:val="005E515E"/>
    <w:rsid w:val="005E522B"/>
    <w:rsid w:val="005E62FE"/>
    <w:rsid w:val="005E64CD"/>
    <w:rsid w:val="005E6ABA"/>
    <w:rsid w:val="005E74D9"/>
    <w:rsid w:val="005F0454"/>
    <w:rsid w:val="005F06FF"/>
    <w:rsid w:val="005F141B"/>
    <w:rsid w:val="005F1537"/>
    <w:rsid w:val="005F2A19"/>
    <w:rsid w:val="005F2BF8"/>
    <w:rsid w:val="005F355F"/>
    <w:rsid w:val="005F4B6C"/>
    <w:rsid w:val="005F4F96"/>
    <w:rsid w:val="005F58DE"/>
    <w:rsid w:val="005F5F2C"/>
    <w:rsid w:val="005F5F6D"/>
    <w:rsid w:val="005F6229"/>
    <w:rsid w:val="005F6EB3"/>
    <w:rsid w:val="005F710A"/>
    <w:rsid w:val="005F753C"/>
    <w:rsid w:val="005F7552"/>
    <w:rsid w:val="006003C0"/>
    <w:rsid w:val="006009E2"/>
    <w:rsid w:val="00600B20"/>
    <w:rsid w:val="00600D30"/>
    <w:rsid w:val="0060138E"/>
    <w:rsid w:val="006015DA"/>
    <w:rsid w:val="00601DA1"/>
    <w:rsid w:val="00601FA4"/>
    <w:rsid w:val="00602A0F"/>
    <w:rsid w:val="0060336C"/>
    <w:rsid w:val="00603CF6"/>
    <w:rsid w:val="006044C2"/>
    <w:rsid w:val="00604A5A"/>
    <w:rsid w:val="006055B2"/>
    <w:rsid w:val="0060574E"/>
    <w:rsid w:val="00605846"/>
    <w:rsid w:val="006061EC"/>
    <w:rsid w:val="006076D2"/>
    <w:rsid w:val="006111C1"/>
    <w:rsid w:val="0061123E"/>
    <w:rsid w:val="00611AF3"/>
    <w:rsid w:val="0061231E"/>
    <w:rsid w:val="00612840"/>
    <w:rsid w:val="006128CF"/>
    <w:rsid w:val="00612BE7"/>
    <w:rsid w:val="00614F82"/>
    <w:rsid w:val="00615C3B"/>
    <w:rsid w:val="00616537"/>
    <w:rsid w:val="006169B4"/>
    <w:rsid w:val="00616E8A"/>
    <w:rsid w:val="00616EBA"/>
    <w:rsid w:val="006170D0"/>
    <w:rsid w:val="006173E4"/>
    <w:rsid w:val="0062031A"/>
    <w:rsid w:val="006209A3"/>
    <w:rsid w:val="00620B4E"/>
    <w:rsid w:val="00622551"/>
    <w:rsid w:val="00622841"/>
    <w:rsid w:val="00623354"/>
    <w:rsid w:val="00623380"/>
    <w:rsid w:val="0062398C"/>
    <w:rsid w:val="00623BA4"/>
    <w:rsid w:val="00623C8F"/>
    <w:rsid w:val="00623DCD"/>
    <w:rsid w:val="00623FAC"/>
    <w:rsid w:val="00624195"/>
    <w:rsid w:val="00624A22"/>
    <w:rsid w:val="00624CD1"/>
    <w:rsid w:val="00624D6A"/>
    <w:rsid w:val="0062519C"/>
    <w:rsid w:val="0062600B"/>
    <w:rsid w:val="006308AD"/>
    <w:rsid w:val="006308BE"/>
    <w:rsid w:val="006312B5"/>
    <w:rsid w:val="006318C2"/>
    <w:rsid w:val="00631C1B"/>
    <w:rsid w:val="00631EB6"/>
    <w:rsid w:val="00633F14"/>
    <w:rsid w:val="0063466A"/>
    <w:rsid w:val="006349A1"/>
    <w:rsid w:val="006351E1"/>
    <w:rsid w:val="006352A1"/>
    <w:rsid w:val="006352AE"/>
    <w:rsid w:val="00635663"/>
    <w:rsid w:val="0063610F"/>
    <w:rsid w:val="006366DA"/>
    <w:rsid w:val="00636A7C"/>
    <w:rsid w:val="00636BB9"/>
    <w:rsid w:val="00637161"/>
    <w:rsid w:val="00637567"/>
    <w:rsid w:val="00637C8E"/>
    <w:rsid w:val="0064037F"/>
    <w:rsid w:val="006413BB"/>
    <w:rsid w:val="00641587"/>
    <w:rsid w:val="00641721"/>
    <w:rsid w:val="00641A8E"/>
    <w:rsid w:val="00641CAC"/>
    <w:rsid w:val="00641CBD"/>
    <w:rsid w:val="00643E3C"/>
    <w:rsid w:val="006443B0"/>
    <w:rsid w:val="00644C21"/>
    <w:rsid w:val="00644FAC"/>
    <w:rsid w:val="006453AE"/>
    <w:rsid w:val="00646E56"/>
    <w:rsid w:val="006471F2"/>
    <w:rsid w:val="0064744D"/>
    <w:rsid w:val="006475D8"/>
    <w:rsid w:val="006476F4"/>
    <w:rsid w:val="00647A76"/>
    <w:rsid w:val="00647E9D"/>
    <w:rsid w:val="0065051D"/>
    <w:rsid w:val="00650F33"/>
    <w:rsid w:val="00651260"/>
    <w:rsid w:val="006514BF"/>
    <w:rsid w:val="0065185C"/>
    <w:rsid w:val="00652103"/>
    <w:rsid w:val="0065264D"/>
    <w:rsid w:val="0065275A"/>
    <w:rsid w:val="00652AC2"/>
    <w:rsid w:val="00653227"/>
    <w:rsid w:val="00654893"/>
    <w:rsid w:val="00654F55"/>
    <w:rsid w:val="0065538B"/>
    <w:rsid w:val="00655842"/>
    <w:rsid w:val="006559C7"/>
    <w:rsid w:val="00655E87"/>
    <w:rsid w:val="00656445"/>
    <w:rsid w:val="0065666B"/>
    <w:rsid w:val="006577C7"/>
    <w:rsid w:val="0065785E"/>
    <w:rsid w:val="006602A6"/>
    <w:rsid w:val="00660722"/>
    <w:rsid w:val="00660C36"/>
    <w:rsid w:val="0066184D"/>
    <w:rsid w:val="00661D94"/>
    <w:rsid w:val="00662078"/>
    <w:rsid w:val="006627B7"/>
    <w:rsid w:val="00662B65"/>
    <w:rsid w:val="00662C44"/>
    <w:rsid w:val="00662FEC"/>
    <w:rsid w:val="0066446F"/>
    <w:rsid w:val="00664A84"/>
    <w:rsid w:val="00664B00"/>
    <w:rsid w:val="00664B85"/>
    <w:rsid w:val="0066536D"/>
    <w:rsid w:val="00665465"/>
    <w:rsid w:val="0066579B"/>
    <w:rsid w:val="00665CD0"/>
    <w:rsid w:val="0066674F"/>
    <w:rsid w:val="00666C24"/>
    <w:rsid w:val="00666DA6"/>
    <w:rsid w:val="006678BA"/>
    <w:rsid w:val="00667F5E"/>
    <w:rsid w:val="0067024B"/>
    <w:rsid w:val="0067047B"/>
    <w:rsid w:val="0067050A"/>
    <w:rsid w:val="006715AE"/>
    <w:rsid w:val="00672561"/>
    <w:rsid w:val="0067296A"/>
    <w:rsid w:val="00672A6D"/>
    <w:rsid w:val="00672AA8"/>
    <w:rsid w:val="006751E4"/>
    <w:rsid w:val="00675A46"/>
    <w:rsid w:val="006765AE"/>
    <w:rsid w:val="006775FE"/>
    <w:rsid w:val="006779DC"/>
    <w:rsid w:val="00680673"/>
    <w:rsid w:val="00681DB6"/>
    <w:rsid w:val="0068330F"/>
    <w:rsid w:val="00683F1D"/>
    <w:rsid w:val="00684072"/>
    <w:rsid w:val="006843E3"/>
    <w:rsid w:val="00685E11"/>
    <w:rsid w:val="0068658B"/>
    <w:rsid w:val="00686D57"/>
    <w:rsid w:val="00686FC8"/>
    <w:rsid w:val="006873E5"/>
    <w:rsid w:val="006874D0"/>
    <w:rsid w:val="00687C13"/>
    <w:rsid w:val="006905FB"/>
    <w:rsid w:val="00690677"/>
    <w:rsid w:val="00690C50"/>
    <w:rsid w:val="00690EE9"/>
    <w:rsid w:val="00691161"/>
    <w:rsid w:val="006911FC"/>
    <w:rsid w:val="00692331"/>
    <w:rsid w:val="00692FE1"/>
    <w:rsid w:val="0069417E"/>
    <w:rsid w:val="00694FC9"/>
    <w:rsid w:val="00695837"/>
    <w:rsid w:val="00695E67"/>
    <w:rsid w:val="00696063"/>
    <w:rsid w:val="00696932"/>
    <w:rsid w:val="00696D1F"/>
    <w:rsid w:val="00696D48"/>
    <w:rsid w:val="0069739E"/>
    <w:rsid w:val="006A0545"/>
    <w:rsid w:val="006A077D"/>
    <w:rsid w:val="006A0F01"/>
    <w:rsid w:val="006A155E"/>
    <w:rsid w:val="006A19F2"/>
    <w:rsid w:val="006A1BC4"/>
    <w:rsid w:val="006A2182"/>
    <w:rsid w:val="006A24E1"/>
    <w:rsid w:val="006A2861"/>
    <w:rsid w:val="006A2AF7"/>
    <w:rsid w:val="006A3048"/>
    <w:rsid w:val="006A46EC"/>
    <w:rsid w:val="006A533B"/>
    <w:rsid w:val="006A56E2"/>
    <w:rsid w:val="006A5BAF"/>
    <w:rsid w:val="006B0791"/>
    <w:rsid w:val="006B19E2"/>
    <w:rsid w:val="006B1E55"/>
    <w:rsid w:val="006B28BD"/>
    <w:rsid w:val="006B2DF0"/>
    <w:rsid w:val="006B2F1D"/>
    <w:rsid w:val="006B3398"/>
    <w:rsid w:val="006B3D04"/>
    <w:rsid w:val="006B405B"/>
    <w:rsid w:val="006B48A7"/>
    <w:rsid w:val="006B5BE1"/>
    <w:rsid w:val="006B5CB1"/>
    <w:rsid w:val="006B686D"/>
    <w:rsid w:val="006B6C49"/>
    <w:rsid w:val="006B6EE2"/>
    <w:rsid w:val="006B7365"/>
    <w:rsid w:val="006C0F56"/>
    <w:rsid w:val="006C1846"/>
    <w:rsid w:val="006C1BDB"/>
    <w:rsid w:val="006C1F6D"/>
    <w:rsid w:val="006C2D1A"/>
    <w:rsid w:val="006C2D88"/>
    <w:rsid w:val="006C31A0"/>
    <w:rsid w:val="006C3AFC"/>
    <w:rsid w:val="006C3C3B"/>
    <w:rsid w:val="006C3CBA"/>
    <w:rsid w:val="006C4625"/>
    <w:rsid w:val="006C475D"/>
    <w:rsid w:val="006C4BEF"/>
    <w:rsid w:val="006C4DA4"/>
    <w:rsid w:val="006C4ED9"/>
    <w:rsid w:val="006C573B"/>
    <w:rsid w:val="006C58B1"/>
    <w:rsid w:val="006C5FDA"/>
    <w:rsid w:val="006C608F"/>
    <w:rsid w:val="006C66C6"/>
    <w:rsid w:val="006C6F27"/>
    <w:rsid w:val="006C7886"/>
    <w:rsid w:val="006D02C0"/>
    <w:rsid w:val="006D07B6"/>
    <w:rsid w:val="006D11E5"/>
    <w:rsid w:val="006D2616"/>
    <w:rsid w:val="006D2CAC"/>
    <w:rsid w:val="006D321A"/>
    <w:rsid w:val="006D3311"/>
    <w:rsid w:val="006D5045"/>
    <w:rsid w:val="006D5B7F"/>
    <w:rsid w:val="006D5BBC"/>
    <w:rsid w:val="006D6415"/>
    <w:rsid w:val="006D67AB"/>
    <w:rsid w:val="006D67F6"/>
    <w:rsid w:val="006D68C8"/>
    <w:rsid w:val="006D6CC4"/>
    <w:rsid w:val="006D6D82"/>
    <w:rsid w:val="006D719B"/>
    <w:rsid w:val="006E10F4"/>
    <w:rsid w:val="006E122C"/>
    <w:rsid w:val="006E142D"/>
    <w:rsid w:val="006E1576"/>
    <w:rsid w:val="006E1F14"/>
    <w:rsid w:val="006E23EB"/>
    <w:rsid w:val="006E28DB"/>
    <w:rsid w:val="006E310A"/>
    <w:rsid w:val="006E433F"/>
    <w:rsid w:val="006E4DDE"/>
    <w:rsid w:val="006E51FC"/>
    <w:rsid w:val="006E64B1"/>
    <w:rsid w:val="006E6576"/>
    <w:rsid w:val="006E7097"/>
    <w:rsid w:val="006E7427"/>
    <w:rsid w:val="006E7E7D"/>
    <w:rsid w:val="006F0021"/>
    <w:rsid w:val="006F061E"/>
    <w:rsid w:val="006F07FC"/>
    <w:rsid w:val="006F0EC2"/>
    <w:rsid w:val="006F1023"/>
    <w:rsid w:val="006F164D"/>
    <w:rsid w:val="006F1C74"/>
    <w:rsid w:val="006F2127"/>
    <w:rsid w:val="006F323C"/>
    <w:rsid w:val="006F358E"/>
    <w:rsid w:val="006F3D2B"/>
    <w:rsid w:val="006F3FDD"/>
    <w:rsid w:val="006F4CC3"/>
    <w:rsid w:val="006F52A8"/>
    <w:rsid w:val="006F5419"/>
    <w:rsid w:val="006F57A7"/>
    <w:rsid w:val="006F5899"/>
    <w:rsid w:val="006F5D1B"/>
    <w:rsid w:val="006F5DBB"/>
    <w:rsid w:val="006F6AB8"/>
    <w:rsid w:val="006F7370"/>
    <w:rsid w:val="006F76BC"/>
    <w:rsid w:val="006F7D3C"/>
    <w:rsid w:val="007002F3"/>
    <w:rsid w:val="00700EAA"/>
    <w:rsid w:val="00701D9C"/>
    <w:rsid w:val="0070238A"/>
    <w:rsid w:val="0070283E"/>
    <w:rsid w:val="00702E38"/>
    <w:rsid w:val="00703C9A"/>
    <w:rsid w:val="00704201"/>
    <w:rsid w:val="007045E5"/>
    <w:rsid w:val="00704EDF"/>
    <w:rsid w:val="00704F39"/>
    <w:rsid w:val="007053BF"/>
    <w:rsid w:val="00705889"/>
    <w:rsid w:val="00705CBA"/>
    <w:rsid w:val="00706EDC"/>
    <w:rsid w:val="00710766"/>
    <w:rsid w:val="00710CE3"/>
    <w:rsid w:val="00711B26"/>
    <w:rsid w:val="00711BC6"/>
    <w:rsid w:val="00711E0C"/>
    <w:rsid w:val="0071270C"/>
    <w:rsid w:val="00712C50"/>
    <w:rsid w:val="007130E4"/>
    <w:rsid w:val="00714315"/>
    <w:rsid w:val="007143E4"/>
    <w:rsid w:val="0071464B"/>
    <w:rsid w:val="00715621"/>
    <w:rsid w:val="00715949"/>
    <w:rsid w:val="00715B12"/>
    <w:rsid w:val="00715E38"/>
    <w:rsid w:val="0071643D"/>
    <w:rsid w:val="00716909"/>
    <w:rsid w:val="00716D5C"/>
    <w:rsid w:val="007171BE"/>
    <w:rsid w:val="0072006E"/>
    <w:rsid w:val="00720DA7"/>
    <w:rsid w:val="00720E2E"/>
    <w:rsid w:val="00720FBD"/>
    <w:rsid w:val="00722BF5"/>
    <w:rsid w:val="007230AE"/>
    <w:rsid w:val="00723943"/>
    <w:rsid w:val="00723B70"/>
    <w:rsid w:val="00723CD7"/>
    <w:rsid w:val="00724121"/>
    <w:rsid w:val="00724935"/>
    <w:rsid w:val="00724A63"/>
    <w:rsid w:val="00724ACF"/>
    <w:rsid w:val="00725074"/>
    <w:rsid w:val="0072567B"/>
    <w:rsid w:val="00725E43"/>
    <w:rsid w:val="0072624F"/>
    <w:rsid w:val="00726311"/>
    <w:rsid w:val="00727676"/>
    <w:rsid w:val="007300F7"/>
    <w:rsid w:val="00731006"/>
    <w:rsid w:val="007315CA"/>
    <w:rsid w:val="00732106"/>
    <w:rsid w:val="007322B2"/>
    <w:rsid w:val="0073287A"/>
    <w:rsid w:val="007328D3"/>
    <w:rsid w:val="007334F8"/>
    <w:rsid w:val="00734F99"/>
    <w:rsid w:val="007353B3"/>
    <w:rsid w:val="0073618A"/>
    <w:rsid w:val="00736E45"/>
    <w:rsid w:val="00736F25"/>
    <w:rsid w:val="00736FFA"/>
    <w:rsid w:val="007376D4"/>
    <w:rsid w:val="007378DA"/>
    <w:rsid w:val="00737AD1"/>
    <w:rsid w:val="00737F2C"/>
    <w:rsid w:val="0074003B"/>
    <w:rsid w:val="007409F3"/>
    <w:rsid w:val="007444B1"/>
    <w:rsid w:val="007444ED"/>
    <w:rsid w:val="007452C9"/>
    <w:rsid w:val="007456EE"/>
    <w:rsid w:val="00745954"/>
    <w:rsid w:val="00745B2F"/>
    <w:rsid w:val="00745C68"/>
    <w:rsid w:val="00746622"/>
    <w:rsid w:val="007476C8"/>
    <w:rsid w:val="00750A82"/>
    <w:rsid w:val="00750CF8"/>
    <w:rsid w:val="00750D0D"/>
    <w:rsid w:val="00751CEA"/>
    <w:rsid w:val="00752BB4"/>
    <w:rsid w:val="00752F13"/>
    <w:rsid w:val="00753048"/>
    <w:rsid w:val="007536D9"/>
    <w:rsid w:val="00753A23"/>
    <w:rsid w:val="00753C1E"/>
    <w:rsid w:val="00753C2A"/>
    <w:rsid w:val="00755091"/>
    <w:rsid w:val="00755C6A"/>
    <w:rsid w:val="00755E85"/>
    <w:rsid w:val="007563CE"/>
    <w:rsid w:val="00756714"/>
    <w:rsid w:val="00756E54"/>
    <w:rsid w:val="00756F15"/>
    <w:rsid w:val="00756FC7"/>
    <w:rsid w:val="00762C06"/>
    <w:rsid w:val="00762C36"/>
    <w:rsid w:val="00762CFA"/>
    <w:rsid w:val="007631D5"/>
    <w:rsid w:val="00763948"/>
    <w:rsid w:val="00763B4A"/>
    <w:rsid w:val="007642D3"/>
    <w:rsid w:val="00764C65"/>
    <w:rsid w:val="00764E5D"/>
    <w:rsid w:val="007652FC"/>
    <w:rsid w:val="0076613E"/>
    <w:rsid w:val="00766948"/>
    <w:rsid w:val="00766C1D"/>
    <w:rsid w:val="00766FD9"/>
    <w:rsid w:val="00767362"/>
    <w:rsid w:val="00767D8C"/>
    <w:rsid w:val="007714BE"/>
    <w:rsid w:val="0077161F"/>
    <w:rsid w:val="00771D36"/>
    <w:rsid w:val="00771F69"/>
    <w:rsid w:val="00772C56"/>
    <w:rsid w:val="007731A4"/>
    <w:rsid w:val="00773EA6"/>
    <w:rsid w:val="00774515"/>
    <w:rsid w:val="00774CD8"/>
    <w:rsid w:val="007750ED"/>
    <w:rsid w:val="007760B3"/>
    <w:rsid w:val="00776240"/>
    <w:rsid w:val="00776EE4"/>
    <w:rsid w:val="00776F89"/>
    <w:rsid w:val="00780077"/>
    <w:rsid w:val="007804AB"/>
    <w:rsid w:val="007806EE"/>
    <w:rsid w:val="0078130F"/>
    <w:rsid w:val="007829F0"/>
    <w:rsid w:val="00783134"/>
    <w:rsid w:val="0078335B"/>
    <w:rsid w:val="00784085"/>
    <w:rsid w:val="00784ACB"/>
    <w:rsid w:val="00785461"/>
    <w:rsid w:val="007860CD"/>
    <w:rsid w:val="0078663D"/>
    <w:rsid w:val="00786A5C"/>
    <w:rsid w:val="007871CE"/>
    <w:rsid w:val="0078734E"/>
    <w:rsid w:val="00787F1A"/>
    <w:rsid w:val="0079069F"/>
    <w:rsid w:val="00790B9B"/>
    <w:rsid w:val="00790C6E"/>
    <w:rsid w:val="007910A7"/>
    <w:rsid w:val="00791CE2"/>
    <w:rsid w:val="00791EC3"/>
    <w:rsid w:val="00791FD4"/>
    <w:rsid w:val="007928A6"/>
    <w:rsid w:val="00792F7A"/>
    <w:rsid w:val="00793058"/>
    <w:rsid w:val="007932A4"/>
    <w:rsid w:val="00794A16"/>
    <w:rsid w:val="00795AD2"/>
    <w:rsid w:val="00795E29"/>
    <w:rsid w:val="00797144"/>
    <w:rsid w:val="0079746A"/>
    <w:rsid w:val="00797E6C"/>
    <w:rsid w:val="007A01FF"/>
    <w:rsid w:val="007A13A9"/>
    <w:rsid w:val="007A2889"/>
    <w:rsid w:val="007A2A37"/>
    <w:rsid w:val="007A2E5A"/>
    <w:rsid w:val="007A2F83"/>
    <w:rsid w:val="007A41BC"/>
    <w:rsid w:val="007A4964"/>
    <w:rsid w:val="007A4CF0"/>
    <w:rsid w:val="007A57BB"/>
    <w:rsid w:val="007A5819"/>
    <w:rsid w:val="007A5AD2"/>
    <w:rsid w:val="007A5B0F"/>
    <w:rsid w:val="007A6D68"/>
    <w:rsid w:val="007A720A"/>
    <w:rsid w:val="007A75EF"/>
    <w:rsid w:val="007B06EF"/>
    <w:rsid w:val="007B125D"/>
    <w:rsid w:val="007B205B"/>
    <w:rsid w:val="007B2205"/>
    <w:rsid w:val="007B2799"/>
    <w:rsid w:val="007B2AAB"/>
    <w:rsid w:val="007B2CE6"/>
    <w:rsid w:val="007B36F9"/>
    <w:rsid w:val="007B40B2"/>
    <w:rsid w:val="007B41D6"/>
    <w:rsid w:val="007B4A65"/>
    <w:rsid w:val="007B4FFD"/>
    <w:rsid w:val="007B5B98"/>
    <w:rsid w:val="007B5DCE"/>
    <w:rsid w:val="007B7751"/>
    <w:rsid w:val="007B7D04"/>
    <w:rsid w:val="007C0A89"/>
    <w:rsid w:val="007C0A90"/>
    <w:rsid w:val="007C219D"/>
    <w:rsid w:val="007C264E"/>
    <w:rsid w:val="007C2EC3"/>
    <w:rsid w:val="007C31CC"/>
    <w:rsid w:val="007C372E"/>
    <w:rsid w:val="007C3D88"/>
    <w:rsid w:val="007C3E18"/>
    <w:rsid w:val="007C469B"/>
    <w:rsid w:val="007C4976"/>
    <w:rsid w:val="007C6B1B"/>
    <w:rsid w:val="007C702C"/>
    <w:rsid w:val="007C7E62"/>
    <w:rsid w:val="007D04A9"/>
    <w:rsid w:val="007D170F"/>
    <w:rsid w:val="007D3703"/>
    <w:rsid w:val="007D5FCE"/>
    <w:rsid w:val="007D67B1"/>
    <w:rsid w:val="007E1298"/>
    <w:rsid w:val="007E1390"/>
    <w:rsid w:val="007E14F7"/>
    <w:rsid w:val="007E1D65"/>
    <w:rsid w:val="007E25F2"/>
    <w:rsid w:val="007E26EA"/>
    <w:rsid w:val="007E2A2B"/>
    <w:rsid w:val="007E354E"/>
    <w:rsid w:val="007E3856"/>
    <w:rsid w:val="007E3AE9"/>
    <w:rsid w:val="007E4F66"/>
    <w:rsid w:val="007E6423"/>
    <w:rsid w:val="007E6DB1"/>
    <w:rsid w:val="007F015A"/>
    <w:rsid w:val="007F03D8"/>
    <w:rsid w:val="007F1243"/>
    <w:rsid w:val="007F1CA5"/>
    <w:rsid w:val="007F1D1A"/>
    <w:rsid w:val="007F25D4"/>
    <w:rsid w:val="007F25EE"/>
    <w:rsid w:val="007F3A80"/>
    <w:rsid w:val="007F446A"/>
    <w:rsid w:val="007F4813"/>
    <w:rsid w:val="007F58DB"/>
    <w:rsid w:val="007F65D0"/>
    <w:rsid w:val="007F6AA5"/>
    <w:rsid w:val="007F6B17"/>
    <w:rsid w:val="007F6CEC"/>
    <w:rsid w:val="007F7020"/>
    <w:rsid w:val="007F7506"/>
    <w:rsid w:val="007F7C84"/>
    <w:rsid w:val="00800F0F"/>
    <w:rsid w:val="0080121B"/>
    <w:rsid w:val="008028A4"/>
    <w:rsid w:val="008030E0"/>
    <w:rsid w:val="00803214"/>
    <w:rsid w:val="00804862"/>
    <w:rsid w:val="00804B83"/>
    <w:rsid w:val="00805687"/>
    <w:rsid w:val="00805C1E"/>
    <w:rsid w:val="008061E2"/>
    <w:rsid w:val="00807044"/>
    <w:rsid w:val="00807854"/>
    <w:rsid w:val="00812836"/>
    <w:rsid w:val="008138D5"/>
    <w:rsid w:val="00813A2C"/>
    <w:rsid w:val="00813B56"/>
    <w:rsid w:val="00813FBB"/>
    <w:rsid w:val="008141F4"/>
    <w:rsid w:val="00814A7A"/>
    <w:rsid w:val="00815A39"/>
    <w:rsid w:val="00815D58"/>
    <w:rsid w:val="00815D68"/>
    <w:rsid w:val="00816345"/>
    <w:rsid w:val="00816E7E"/>
    <w:rsid w:val="0081701A"/>
    <w:rsid w:val="008170CE"/>
    <w:rsid w:val="00817E3F"/>
    <w:rsid w:val="0082037D"/>
    <w:rsid w:val="00820945"/>
    <w:rsid w:val="008215BB"/>
    <w:rsid w:val="00821FD0"/>
    <w:rsid w:val="0082257D"/>
    <w:rsid w:val="00822677"/>
    <w:rsid w:val="00822968"/>
    <w:rsid w:val="008234EF"/>
    <w:rsid w:val="008242DA"/>
    <w:rsid w:val="00824E69"/>
    <w:rsid w:val="00825AC3"/>
    <w:rsid w:val="00825D2D"/>
    <w:rsid w:val="00825E87"/>
    <w:rsid w:val="00826DF1"/>
    <w:rsid w:val="0082748E"/>
    <w:rsid w:val="00827F5A"/>
    <w:rsid w:val="00830059"/>
    <w:rsid w:val="0083056B"/>
    <w:rsid w:val="00830CA0"/>
    <w:rsid w:val="00831751"/>
    <w:rsid w:val="00831D29"/>
    <w:rsid w:val="0083297C"/>
    <w:rsid w:val="00832EAA"/>
    <w:rsid w:val="008330F5"/>
    <w:rsid w:val="0083387B"/>
    <w:rsid w:val="008339DF"/>
    <w:rsid w:val="00833B1F"/>
    <w:rsid w:val="00833FDD"/>
    <w:rsid w:val="008343CE"/>
    <w:rsid w:val="00834AA7"/>
    <w:rsid w:val="00834BFB"/>
    <w:rsid w:val="00834C87"/>
    <w:rsid w:val="00836354"/>
    <w:rsid w:val="008373B8"/>
    <w:rsid w:val="00840057"/>
    <w:rsid w:val="00840B03"/>
    <w:rsid w:val="00840F80"/>
    <w:rsid w:val="008410CF"/>
    <w:rsid w:val="00841EAE"/>
    <w:rsid w:val="0084201B"/>
    <w:rsid w:val="008424C1"/>
    <w:rsid w:val="008425EA"/>
    <w:rsid w:val="00842AD4"/>
    <w:rsid w:val="00842EA1"/>
    <w:rsid w:val="008438D9"/>
    <w:rsid w:val="0084576F"/>
    <w:rsid w:val="008457BA"/>
    <w:rsid w:val="00845B71"/>
    <w:rsid w:val="00845D54"/>
    <w:rsid w:val="00846DF8"/>
    <w:rsid w:val="00846EB2"/>
    <w:rsid w:val="00847071"/>
    <w:rsid w:val="00847B55"/>
    <w:rsid w:val="00851E92"/>
    <w:rsid w:val="00852665"/>
    <w:rsid w:val="00852672"/>
    <w:rsid w:val="00852885"/>
    <w:rsid w:val="008532D9"/>
    <w:rsid w:val="00853EEC"/>
    <w:rsid w:val="008543E8"/>
    <w:rsid w:val="008548FD"/>
    <w:rsid w:val="00854901"/>
    <w:rsid w:val="00854B94"/>
    <w:rsid w:val="00854D07"/>
    <w:rsid w:val="0085530D"/>
    <w:rsid w:val="0085559A"/>
    <w:rsid w:val="008567B5"/>
    <w:rsid w:val="00857824"/>
    <w:rsid w:val="008601D0"/>
    <w:rsid w:val="008611EF"/>
    <w:rsid w:val="0086175A"/>
    <w:rsid w:val="008618D4"/>
    <w:rsid w:val="0086226E"/>
    <w:rsid w:val="00862FBE"/>
    <w:rsid w:val="008631BE"/>
    <w:rsid w:val="00863BF9"/>
    <w:rsid w:val="008641D2"/>
    <w:rsid w:val="008645A2"/>
    <w:rsid w:val="008647E1"/>
    <w:rsid w:val="0086582D"/>
    <w:rsid w:val="008658BC"/>
    <w:rsid w:val="008659F0"/>
    <w:rsid w:val="00865B05"/>
    <w:rsid w:val="00866F5E"/>
    <w:rsid w:val="00867C7A"/>
    <w:rsid w:val="008704C7"/>
    <w:rsid w:val="008704E7"/>
    <w:rsid w:val="00870559"/>
    <w:rsid w:val="008707DD"/>
    <w:rsid w:val="0087084E"/>
    <w:rsid w:val="008709F9"/>
    <w:rsid w:val="008724B3"/>
    <w:rsid w:val="008726E4"/>
    <w:rsid w:val="00873314"/>
    <w:rsid w:val="00873C3E"/>
    <w:rsid w:val="00873D54"/>
    <w:rsid w:val="008745BF"/>
    <w:rsid w:val="008745C5"/>
    <w:rsid w:val="0087516D"/>
    <w:rsid w:val="00875EE2"/>
    <w:rsid w:val="008774F4"/>
    <w:rsid w:val="00881497"/>
    <w:rsid w:val="008816BD"/>
    <w:rsid w:val="008819C0"/>
    <w:rsid w:val="00882425"/>
    <w:rsid w:val="00882FE6"/>
    <w:rsid w:val="008835C0"/>
    <w:rsid w:val="00883E66"/>
    <w:rsid w:val="00884040"/>
    <w:rsid w:val="008846C4"/>
    <w:rsid w:val="00885567"/>
    <w:rsid w:val="008856F8"/>
    <w:rsid w:val="00885D57"/>
    <w:rsid w:val="00885E62"/>
    <w:rsid w:val="0088770B"/>
    <w:rsid w:val="00887812"/>
    <w:rsid w:val="00887851"/>
    <w:rsid w:val="00890286"/>
    <w:rsid w:val="00890C03"/>
    <w:rsid w:val="00890C37"/>
    <w:rsid w:val="0089123E"/>
    <w:rsid w:val="0089143C"/>
    <w:rsid w:val="00892590"/>
    <w:rsid w:val="008927F9"/>
    <w:rsid w:val="00892D47"/>
    <w:rsid w:val="00892F71"/>
    <w:rsid w:val="008930C7"/>
    <w:rsid w:val="008934CF"/>
    <w:rsid w:val="0089418B"/>
    <w:rsid w:val="008941E6"/>
    <w:rsid w:val="008941FF"/>
    <w:rsid w:val="00894783"/>
    <w:rsid w:val="00895432"/>
    <w:rsid w:val="00895DCB"/>
    <w:rsid w:val="00895F66"/>
    <w:rsid w:val="008960E4"/>
    <w:rsid w:val="00896756"/>
    <w:rsid w:val="0089687E"/>
    <w:rsid w:val="008972B3"/>
    <w:rsid w:val="008974EE"/>
    <w:rsid w:val="00897E3A"/>
    <w:rsid w:val="008A0BD6"/>
    <w:rsid w:val="008A0EE9"/>
    <w:rsid w:val="008A143C"/>
    <w:rsid w:val="008A2D35"/>
    <w:rsid w:val="008A322C"/>
    <w:rsid w:val="008A3DAE"/>
    <w:rsid w:val="008A4372"/>
    <w:rsid w:val="008A4838"/>
    <w:rsid w:val="008A4895"/>
    <w:rsid w:val="008A4C7C"/>
    <w:rsid w:val="008A4DF4"/>
    <w:rsid w:val="008A50DC"/>
    <w:rsid w:val="008A5177"/>
    <w:rsid w:val="008A531F"/>
    <w:rsid w:val="008A5F20"/>
    <w:rsid w:val="008A6221"/>
    <w:rsid w:val="008A6433"/>
    <w:rsid w:val="008A695D"/>
    <w:rsid w:val="008A6F3A"/>
    <w:rsid w:val="008A7E54"/>
    <w:rsid w:val="008B03B5"/>
    <w:rsid w:val="008B0EB9"/>
    <w:rsid w:val="008B14A3"/>
    <w:rsid w:val="008B15C5"/>
    <w:rsid w:val="008B15F3"/>
    <w:rsid w:val="008B1DE2"/>
    <w:rsid w:val="008B205D"/>
    <w:rsid w:val="008B25AB"/>
    <w:rsid w:val="008B2C64"/>
    <w:rsid w:val="008B4E37"/>
    <w:rsid w:val="008B572F"/>
    <w:rsid w:val="008B64B7"/>
    <w:rsid w:val="008B666E"/>
    <w:rsid w:val="008B761B"/>
    <w:rsid w:val="008B7C9E"/>
    <w:rsid w:val="008C02EA"/>
    <w:rsid w:val="008C03FF"/>
    <w:rsid w:val="008C09FE"/>
    <w:rsid w:val="008C0D45"/>
    <w:rsid w:val="008C18B6"/>
    <w:rsid w:val="008C1BB9"/>
    <w:rsid w:val="008C1D9D"/>
    <w:rsid w:val="008C2932"/>
    <w:rsid w:val="008C308A"/>
    <w:rsid w:val="008C3968"/>
    <w:rsid w:val="008C5193"/>
    <w:rsid w:val="008C539A"/>
    <w:rsid w:val="008C60C3"/>
    <w:rsid w:val="008C67A0"/>
    <w:rsid w:val="008C728F"/>
    <w:rsid w:val="008C7B65"/>
    <w:rsid w:val="008D03DB"/>
    <w:rsid w:val="008D13E1"/>
    <w:rsid w:val="008D1E5D"/>
    <w:rsid w:val="008D20F0"/>
    <w:rsid w:val="008D23AE"/>
    <w:rsid w:val="008D23BC"/>
    <w:rsid w:val="008D2442"/>
    <w:rsid w:val="008D295B"/>
    <w:rsid w:val="008D2D8F"/>
    <w:rsid w:val="008D2E35"/>
    <w:rsid w:val="008D37F2"/>
    <w:rsid w:val="008D3E76"/>
    <w:rsid w:val="008D43A2"/>
    <w:rsid w:val="008D4F14"/>
    <w:rsid w:val="008D567D"/>
    <w:rsid w:val="008D5798"/>
    <w:rsid w:val="008D5A2D"/>
    <w:rsid w:val="008D66B9"/>
    <w:rsid w:val="008D7907"/>
    <w:rsid w:val="008E023E"/>
    <w:rsid w:val="008E029C"/>
    <w:rsid w:val="008E0576"/>
    <w:rsid w:val="008E189B"/>
    <w:rsid w:val="008E210E"/>
    <w:rsid w:val="008E25CD"/>
    <w:rsid w:val="008E2F28"/>
    <w:rsid w:val="008E309A"/>
    <w:rsid w:val="008E3181"/>
    <w:rsid w:val="008E48DE"/>
    <w:rsid w:val="008E4B00"/>
    <w:rsid w:val="008E5B14"/>
    <w:rsid w:val="008E7459"/>
    <w:rsid w:val="008E7ECF"/>
    <w:rsid w:val="008F1658"/>
    <w:rsid w:val="008F202D"/>
    <w:rsid w:val="008F2085"/>
    <w:rsid w:val="008F2830"/>
    <w:rsid w:val="008F2FA1"/>
    <w:rsid w:val="008F3841"/>
    <w:rsid w:val="008F4050"/>
    <w:rsid w:val="008F474F"/>
    <w:rsid w:val="008F51AC"/>
    <w:rsid w:val="008F51D9"/>
    <w:rsid w:val="008F5EEB"/>
    <w:rsid w:val="008F6214"/>
    <w:rsid w:val="008F6C1B"/>
    <w:rsid w:val="008F77E0"/>
    <w:rsid w:val="008F789B"/>
    <w:rsid w:val="00900537"/>
    <w:rsid w:val="009010F5"/>
    <w:rsid w:val="009011EF"/>
    <w:rsid w:val="00901530"/>
    <w:rsid w:val="0090282D"/>
    <w:rsid w:val="00902E67"/>
    <w:rsid w:val="009038A4"/>
    <w:rsid w:val="0090468D"/>
    <w:rsid w:val="009053EE"/>
    <w:rsid w:val="00905981"/>
    <w:rsid w:val="00905A5D"/>
    <w:rsid w:val="00906975"/>
    <w:rsid w:val="00906DB0"/>
    <w:rsid w:val="00906E04"/>
    <w:rsid w:val="00907536"/>
    <w:rsid w:val="00907980"/>
    <w:rsid w:val="00907FC9"/>
    <w:rsid w:val="009102BA"/>
    <w:rsid w:val="00910FA3"/>
    <w:rsid w:val="00911061"/>
    <w:rsid w:val="00911273"/>
    <w:rsid w:val="00911469"/>
    <w:rsid w:val="009122BE"/>
    <w:rsid w:val="00912AD6"/>
    <w:rsid w:val="00912EDF"/>
    <w:rsid w:val="009130D4"/>
    <w:rsid w:val="00913707"/>
    <w:rsid w:val="00913FE1"/>
    <w:rsid w:val="00915ABF"/>
    <w:rsid w:val="00916D8D"/>
    <w:rsid w:val="009173E0"/>
    <w:rsid w:val="00917564"/>
    <w:rsid w:val="00917DFF"/>
    <w:rsid w:val="00920A9B"/>
    <w:rsid w:val="009210E1"/>
    <w:rsid w:val="0092144D"/>
    <w:rsid w:val="00921621"/>
    <w:rsid w:val="009218A5"/>
    <w:rsid w:val="009220F6"/>
    <w:rsid w:val="009225D4"/>
    <w:rsid w:val="00922AC4"/>
    <w:rsid w:val="00922AEC"/>
    <w:rsid w:val="00922CAC"/>
    <w:rsid w:val="009235F9"/>
    <w:rsid w:val="00923618"/>
    <w:rsid w:val="009241E7"/>
    <w:rsid w:val="00924FA9"/>
    <w:rsid w:val="009259BF"/>
    <w:rsid w:val="0092642E"/>
    <w:rsid w:val="009266C6"/>
    <w:rsid w:val="00926878"/>
    <w:rsid w:val="00927170"/>
    <w:rsid w:val="00927178"/>
    <w:rsid w:val="009276F4"/>
    <w:rsid w:val="00927C4F"/>
    <w:rsid w:val="0093027F"/>
    <w:rsid w:val="0093047B"/>
    <w:rsid w:val="00930F08"/>
    <w:rsid w:val="0093108F"/>
    <w:rsid w:val="00931229"/>
    <w:rsid w:val="009328F1"/>
    <w:rsid w:val="00932C24"/>
    <w:rsid w:val="00933425"/>
    <w:rsid w:val="00933F43"/>
    <w:rsid w:val="00934DDF"/>
    <w:rsid w:val="00935D75"/>
    <w:rsid w:val="00936163"/>
    <w:rsid w:val="00936186"/>
    <w:rsid w:val="009364B5"/>
    <w:rsid w:val="00937DE8"/>
    <w:rsid w:val="00941065"/>
    <w:rsid w:val="009417B7"/>
    <w:rsid w:val="0094227A"/>
    <w:rsid w:val="009425CD"/>
    <w:rsid w:val="00942A17"/>
    <w:rsid w:val="00943C5F"/>
    <w:rsid w:val="00944154"/>
    <w:rsid w:val="00944676"/>
    <w:rsid w:val="009452C2"/>
    <w:rsid w:val="0094534A"/>
    <w:rsid w:val="0094563A"/>
    <w:rsid w:val="00946327"/>
    <w:rsid w:val="00946360"/>
    <w:rsid w:val="00946790"/>
    <w:rsid w:val="00946A3C"/>
    <w:rsid w:val="00947295"/>
    <w:rsid w:val="009473AB"/>
    <w:rsid w:val="0094744B"/>
    <w:rsid w:val="009503B2"/>
    <w:rsid w:val="00950C8A"/>
    <w:rsid w:val="00951874"/>
    <w:rsid w:val="009518D6"/>
    <w:rsid w:val="00951B60"/>
    <w:rsid w:val="0095210E"/>
    <w:rsid w:val="0095272E"/>
    <w:rsid w:val="00952A80"/>
    <w:rsid w:val="00952EC2"/>
    <w:rsid w:val="00952FAB"/>
    <w:rsid w:val="00954040"/>
    <w:rsid w:val="009545CE"/>
    <w:rsid w:val="0095579B"/>
    <w:rsid w:val="00956425"/>
    <w:rsid w:val="00956802"/>
    <w:rsid w:val="00956C13"/>
    <w:rsid w:val="00956C17"/>
    <w:rsid w:val="00957C5B"/>
    <w:rsid w:val="00957D42"/>
    <w:rsid w:val="00960467"/>
    <w:rsid w:val="00960719"/>
    <w:rsid w:val="00962910"/>
    <w:rsid w:val="00962ABC"/>
    <w:rsid w:val="00962B3D"/>
    <w:rsid w:val="009633F6"/>
    <w:rsid w:val="00964042"/>
    <w:rsid w:val="00964183"/>
    <w:rsid w:val="0096433B"/>
    <w:rsid w:val="00965786"/>
    <w:rsid w:val="0096608F"/>
    <w:rsid w:val="009664C6"/>
    <w:rsid w:val="00966500"/>
    <w:rsid w:val="00970708"/>
    <w:rsid w:val="00970C12"/>
    <w:rsid w:val="009715D3"/>
    <w:rsid w:val="00971FED"/>
    <w:rsid w:val="00972371"/>
    <w:rsid w:val="00972D12"/>
    <w:rsid w:val="00972EAF"/>
    <w:rsid w:val="009733E7"/>
    <w:rsid w:val="00973DFE"/>
    <w:rsid w:val="00974744"/>
    <w:rsid w:val="00974C05"/>
    <w:rsid w:val="009756C6"/>
    <w:rsid w:val="009769A2"/>
    <w:rsid w:val="00980603"/>
    <w:rsid w:val="00981457"/>
    <w:rsid w:val="00981535"/>
    <w:rsid w:val="00982201"/>
    <w:rsid w:val="009829FB"/>
    <w:rsid w:val="00982CDD"/>
    <w:rsid w:val="00982F58"/>
    <w:rsid w:val="00983BAE"/>
    <w:rsid w:val="00984F4A"/>
    <w:rsid w:val="009854F2"/>
    <w:rsid w:val="0098646E"/>
    <w:rsid w:val="00986981"/>
    <w:rsid w:val="00986CA6"/>
    <w:rsid w:val="0098704E"/>
    <w:rsid w:val="00987705"/>
    <w:rsid w:val="00987E63"/>
    <w:rsid w:val="009901B2"/>
    <w:rsid w:val="00990482"/>
    <w:rsid w:val="009915B7"/>
    <w:rsid w:val="00991EDB"/>
    <w:rsid w:val="009925CA"/>
    <w:rsid w:val="00992ED0"/>
    <w:rsid w:val="00995E2B"/>
    <w:rsid w:val="00995E7C"/>
    <w:rsid w:val="00997326"/>
    <w:rsid w:val="00997953"/>
    <w:rsid w:val="009A0DB0"/>
    <w:rsid w:val="009A0EA4"/>
    <w:rsid w:val="009A22E2"/>
    <w:rsid w:val="009A29CC"/>
    <w:rsid w:val="009A2B8B"/>
    <w:rsid w:val="009A39C2"/>
    <w:rsid w:val="009A3F2B"/>
    <w:rsid w:val="009A4053"/>
    <w:rsid w:val="009A4146"/>
    <w:rsid w:val="009A4901"/>
    <w:rsid w:val="009A535F"/>
    <w:rsid w:val="009A6E25"/>
    <w:rsid w:val="009A6F6D"/>
    <w:rsid w:val="009A7383"/>
    <w:rsid w:val="009B0505"/>
    <w:rsid w:val="009B0A72"/>
    <w:rsid w:val="009B19D0"/>
    <w:rsid w:val="009B22B3"/>
    <w:rsid w:val="009B2388"/>
    <w:rsid w:val="009B2505"/>
    <w:rsid w:val="009B381F"/>
    <w:rsid w:val="009B647B"/>
    <w:rsid w:val="009B681E"/>
    <w:rsid w:val="009B7405"/>
    <w:rsid w:val="009C020B"/>
    <w:rsid w:val="009C0417"/>
    <w:rsid w:val="009C0869"/>
    <w:rsid w:val="009C2437"/>
    <w:rsid w:val="009C25D9"/>
    <w:rsid w:val="009C2C23"/>
    <w:rsid w:val="009C2CC5"/>
    <w:rsid w:val="009C32CE"/>
    <w:rsid w:val="009C386B"/>
    <w:rsid w:val="009C731E"/>
    <w:rsid w:val="009C7827"/>
    <w:rsid w:val="009C7840"/>
    <w:rsid w:val="009C7D0C"/>
    <w:rsid w:val="009C7E33"/>
    <w:rsid w:val="009D2707"/>
    <w:rsid w:val="009D351A"/>
    <w:rsid w:val="009D3FB3"/>
    <w:rsid w:val="009D463E"/>
    <w:rsid w:val="009D4F45"/>
    <w:rsid w:val="009D5033"/>
    <w:rsid w:val="009D5FA7"/>
    <w:rsid w:val="009D6852"/>
    <w:rsid w:val="009D69D9"/>
    <w:rsid w:val="009D6FE7"/>
    <w:rsid w:val="009D784F"/>
    <w:rsid w:val="009D7D2B"/>
    <w:rsid w:val="009D7F57"/>
    <w:rsid w:val="009E0358"/>
    <w:rsid w:val="009E0EDA"/>
    <w:rsid w:val="009E174E"/>
    <w:rsid w:val="009E1817"/>
    <w:rsid w:val="009E2A2F"/>
    <w:rsid w:val="009E2D7B"/>
    <w:rsid w:val="009E3A83"/>
    <w:rsid w:val="009E3B2B"/>
    <w:rsid w:val="009E3DCC"/>
    <w:rsid w:val="009E50D7"/>
    <w:rsid w:val="009E57C6"/>
    <w:rsid w:val="009E624F"/>
    <w:rsid w:val="009E68FE"/>
    <w:rsid w:val="009E6AD3"/>
    <w:rsid w:val="009E6DC6"/>
    <w:rsid w:val="009F0BED"/>
    <w:rsid w:val="009F10C8"/>
    <w:rsid w:val="009F11E1"/>
    <w:rsid w:val="009F11FD"/>
    <w:rsid w:val="009F14E0"/>
    <w:rsid w:val="009F3C37"/>
    <w:rsid w:val="009F498B"/>
    <w:rsid w:val="009F4F62"/>
    <w:rsid w:val="009F5710"/>
    <w:rsid w:val="009F6068"/>
    <w:rsid w:val="00A002FB"/>
    <w:rsid w:val="00A006DA"/>
    <w:rsid w:val="00A00D7A"/>
    <w:rsid w:val="00A0183B"/>
    <w:rsid w:val="00A02366"/>
    <w:rsid w:val="00A0237F"/>
    <w:rsid w:val="00A02854"/>
    <w:rsid w:val="00A02E39"/>
    <w:rsid w:val="00A0340A"/>
    <w:rsid w:val="00A04204"/>
    <w:rsid w:val="00A04224"/>
    <w:rsid w:val="00A055E6"/>
    <w:rsid w:val="00A05CC9"/>
    <w:rsid w:val="00A06F4F"/>
    <w:rsid w:val="00A078F0"/>
    <w:rsid w:val="00A10134"/>
    <w:rsid w:val="00A10738"/>
    <w:rsid w:val="00A1086F"/>
    <w:rsid w:val="00A10A11"/>
    <w:rsid w:val="00A11353"/>
    <w:rsid w:val="00A11861"/>
    <w:rsid w:val="00A1193E"/>
    <w:rsid w:val="00A11C6F"/>
    <w:rsid w:val="00A11DB8"/>
    <w:rsid w:val="00A12B22"/>
    <w:rsid w:val="00A135D4"/>
    <w:rsid w:val="00A145AB"/>
    <w:rsid w:val="00A148B9"/>
    <w:rsid w:val="00A15282"/>
    <w:rsid w:val="00A17724"/>
    <w:rsid w:val="00A178B7"/>
    <w:rsid w:val="00A20BEF"/>
    <w:rsid w:val="00A20F80"/>
    <w:rsid w:val="00A2175B"/>
    <w:rsid w:val="00A21DF5"/>
    <w:rsid w:val="00A224AF"/>
    <w:rsid w:val="00A22FE6"/>
    <w:rsid w:val="00A23551"/>
    <w:rsid w:val="00A23608"/>
    <w:rsid w:val="00A237F7"/>
    <w:rsid w:val="00A23C46"/>
    <w:rsid w:val="00A24D07"/>
    <w:rsid w:val="00A2568A"/>
    <w:rsid w:val="00A25792"/>
    <w:rsid w:val="00A25C16"/>
    <w:rsid w:val="00A2643A"/>
    <w:rsid w:val="00A26666"/>
    <w:rsid w:val="00A26902"/>
    <w:rsid w:val="00A2784E"/>
    <w:rsid w:val="00A301A2"/>
    <w:rsid w:val="00A31279"/>
    <w:rsid w:val="00A320EA"/>
    <w:rsid w:val="00A32A7C"/>
    <w:rsid w:val="00A32E2F"/>
    <w:rsid w:val="00A34EBD"/>
    <w:rsid w:val="00A36505"/>
    <w:rsid w:val="00A369CF"/>
    <w:rsid w:val="00A373AF"/>
    <w:rsid w:val="00A37822"/>
    <w:rsid w:val="00A379C3"/>
    <w:rsid w:val="00A40A67"/>
    <w:rsid w:val="00A40B02"/>
    <w:rsid w:val="00A41210"/>
    <w:rsid w:val="00A416E4"/>
    <w:rsid w:val="00A41A1B"/>
    <w:rsid w:val="00A41EAE"/>
    <w:rsid w:val="00A42302"/>
    <w:rsid w:val="00A434AA"/>
    <w:rsid w:val="00A43908"/>
    <w:rsid w:val="00A4406D"/>
    <w:rsid w:val="00A4486F"/>
    <w:rsid w:val="00A44D31"/>
    <w:rsid w:val="00A44EE1"/>
    <w:rsid w:val="00A45C08"/>
    <w:rsid w:val="00A47561"/>
    <w:rsid w:val="00A47AA4"/>
    <w:rsid w:val="00A47CC7"/>
    <w:rsid w:val="00A47F48"/>
    <w:rsid w:val="00A508FD"/>
    <w:rsid w:val="00A51084"/>
    <w:rsid w:val="00A513B7"/>
    <w:rsid w:val="00A51ADC"/>
    <w:rsid w:val="00A5207C"/>
    <w:rsid w:val="00A52D78"/>
    <w:rsid w:val="00A53531"/>
    <w:rsid w:val="00A5353E"/>
    <w:rsid w:val="00A53603"/>
    <w:rsid w:val="00A53963"/>
    <w:rsid w:val="00A53F08"/>
    <w:rsid w:val="00A53F38"/>
    <w:rsid w:val="00A547FE"/>
    <w:rsid w:val="00A54A2A"/>
    <w:rsid w:val="00A54CF5"/>
    <w:rsid w:val="00A55501"/>
    <w:rsid w:val="00A559F1"/>
    <w:rsid w:val="00A55ACC"/>
    <w:rsid w:val="00A55C61"/>
    <w:rsid w:val="00A55FB1"/>
    <w:rsid w:val="00A55FEE"/>
    <w:rsid w:val="00A5616F"/>
    <w:rsid w:val="00A5638D"/>
    <w:rsid w:val="00A563DA"/>
    <w:rsid w:val="00A5662B"/>
    <w:rsid w:val="00A5713A"/>
    <w:rsid w:val="00A572E7"/>
    <w:rsid w:val="00A5786C"/>
    <w:rsid w:val="00A57F5D"/>
    <w:rsid w:val="00A600C5"/>
    <w:rsid w:val="00A61C53"/>
    <w:rsid w:val="00A61CFB"/>
    <w:rsid w:val="00A630FD"/>
    <w:rsid w:val="00A63E1B"/>
    <w:rsid w:val="00A63ED1"/>
    <w:rsid w:val="00A64B00"/>
    <w:rsid w:val="00A64CC7"/>
    <w:rsid w:val="00A66294"/>
    <w:rsid w:val="00A670EE"/>
    <w:rsid w:val="00A673B1"/>
    <w:rsid w:val="00A673B4"/>
    <w:rsid w:val="00A675E2"/>
    <w:rsid w:val="00A67C18"/>
    <w:rsid w:val="00A67FF5"/>
    <w:rsid w:val="00A70405"/>
    <w:rsid w:val="00A710C2"/>
    <w:rsid w:val="00A71DBC"/>
    <w:rsid w:val="00A731AA"/>
    <w:rsid w:val="00A7348B"/>
    <w:rsid w:val="00A734BB"/>
    <w:rsid w:val="00A73593"/>
    <w:rsid w:val="00A7430B"/>
    <w:rsid w:val="00A747A5"/>
    <w:rsid w:val="00A74900"/>
    <w:rsid w:val="00A74B94"/>
    <w:rsid w:val="00A755D0"/>
    <w:rsid w:val="00A7561E"/>
    <w:rsid w:val="00A765A0"/>
    <w:rsid w:val="00A76BEC"/>
    <w:rsid w:val="00A76BFC"/>
    <w:rsid w:val="00A770A1"/>
    <w:rsid w:val="00A77836"/>
    <w:rsid w:val="00A80241"/>
    <w:rsid w:val="00A80281"/>
    <w:rsid w:val="00A80662"/>
    <w:rsid w:val="00A8071B"/>
    <w:rsid w:val="00A81061"/>
    <w:rsid w:val="00A81745"/>
    <w:rsid w:val="00A819C6"/>
    <w:rsid w:val="00A81B1A"/>
    <w:rsid w:val="00A83804"/>
    <w:rsid w:val="00A8435C"/>
    <w:rsid w:val="00A846E9"/>
    <w:rsid w:val="00A8508F"/>
    <w:rsid w:val="00A86640"/>
    <w:rsid w:val="00A86DA3"/>
    <w:rsid w:val="00A86E15"/>
    <w:rsid w:val="00A87E29"/>
    <w:rsid w:val="00A87E9C"/>
    <w:rsid w:val="00A9024F"/>
    <w:rsid w:val="00A90863"/>
    <w:rsid w:val="00A91A37"/>
    <w:rsid w:val="00A9349B"/>
    <w:rsid w:val="00A940B9"/>
    <w:rsid w:val="00A94284"/>
    <w:rsid w:val="00A94AC1"/>
    <w:rsid w:val="00A94B4F"/>
    <w:rsid w:val="00A94CB4"/>
    <w:rsid w:val="00A954EE"/>
    <w:rsid w:val="00A9680E"/>
    <w:rsid w:val="00A9710D"/>
    <w:rsid w:val="00A976D4"/>
    <w:rsid w:val="00A97DD5"/>
    <w:rsid w:val="00A97DFF"/>
    <w:rsid w:val="00A97F65"/>
    <w:rsid w:val="00AA09F6"/>
    <w:rsid w:val="00AA0C57"/>
    <w:rsid w:val="00AA13D9"/>
    <w:rsid w:val="00AA450B"/>
    <w:rsid w:val="00AA5D6B"/>
    <w:rsid w:val="00AA7051"/>
    <w:rsid w:val="00AA770D"/>
    <w:rsid w:val="00AB192C"/>
    <w:rsid w:val="00AB2716"/>
    <w:rsid w:val="00AB2BC4"/>
    <w:rsid w:val="00AB41A7"/>
    <w:rsid w:val="00AB4880"/>
    <w:rsid w:val="00AB4E64"/>
    <w:rsid w:val="00AB6322"/>
    <w:rsid w:val="00AB692D"/>
    <w:rsid w:val="00AB6C31"/>
    <w:rsid w:val="00AB70FB"/>
    <w:rsid w:val="00AB7901"/>
    <w:rsid w:val="00AC1AEF"/>
    <w:rsid w:val="00AC346E"/>
    <w:rsid w:val="00AC4429"/>
    <w:rsid w:val="00AC476C"/>
    <w:rsid w:val="00AC4A62"/>
    <w:rsid w:val="00AC519D"/>
    <w:rsid w:val="00AC527B"/>
    <w:rsid w:val="00AC5B9F"/>
    <w:rsid w:val="00AC5E89"/>
    <w:rsid w:val="00AC7149"/>
    <w:rsid w:val="00AC71A0"/>
    <w:rsid w:val="00AC77B8"/>
    <w:rsid w:val="00AC7A1B"/>
    <w:rsid w:val="00AD034C"/>
    <w:rsid w:val="00AD0650"/>
    <w:rsid w:val="00AD0931"/>
    <w:rsid w:val="00AD0B53"/>
    <w:rsid w:val="00AD19CA"/>
    <w:rsid w:val="00AD1BC7"/>
    <w:rsid w:val="00AD2DC1"/>
    <w:rsid w:val="00AD32A9"/>
    <w:rsid w:val="00AD3772"/>
    <w:rsid w:val="00AD460E"/>
    <w:rsid w:val="00AD4612"/>
    <w:rsid w:val="00AD46A2"/>
    <w:rsid w:val="00AD5C8C"/>
    <w:rsid w:val="00AD69C6"/>
    <w:rsid w:val="00AD7859"/>
    <w:rsid w:val="00AD7A5D"/>
    <w:rsid w:val="00AE058F"/>
    <w:rsid w:val="00AE11E4"/>
    <w:rsid w:val="00AE369B"/>
    <w:rsid w:val="00AE3880"/>
    <w:rsid w:val="00AE3B65"/>
    <w:rsid w:val="00AE45B1"/>
    <w:rsid w:val="00AE5C04"/>
    <w:rsid w:val="00AE5C92"/>
    <w:rsid w:val="00AE62E5"/>
    <w:rsid w:val="00AE64E1"/>
    <w:rsid w:val="00AE7311"/>
    <w:rsid w:val="00AE7391"/>
    <w:rsid w:val="00AE73B8"/>
    <w:rsid w:val="00AF094C"/>
    <w:rsid w:val="00AF12DD"/>
    <w:rsid w:val="00AF15D2"/>
    <w:rsid w:val="00AF16FD"/>
    <w:rsid w:val="00AF1878"/>
    <w:rsid w:val="00AF2055"/>
    <w:rsid w:val="00AF277C"/>
    <w:rsid w:val="00AF31F3"/>
    <w:rsid w:val="00AF32BA"/>
    <w:rsid w:val="00AF3F32"/>
    <w:rsid w:val="00AF4010"/>
    <w:rsid w:val="00AF40AE"/>
    <w:rsid w:val="00AF518C"/>
    <w:rsid w:val="00AF7E4E"/>
    <w:rsid w:val="00B0045B"/>
    <w:rsid w:val="00B0089F"/>
    <w:rsid w:val="00B00C72"/>
    <w:rsid w:val="00B01A76"/>
    <w:rsid w:val="00B01B96"/>
    <w:rsid w:val="00B01DB3"/>
    <w:rsid w:val="00B0256E"/>
    <w:rsid w:val="00B02E58"/>
    <w:rsid w:val="00B03946"/>
    <w:rsid w:val="00B03BED"/>
    <w:rsid w:val="00B04362"/>
    <w:rsid w:val="00B049B9"/>
    <w:rsid w:val="00B04C10"/>
    <w:rsid w:val="00B05011"/>
    <w:rsid w:val="00B054A0"/>
    <w:rsid w:val="00B059F5"/>
    <w:rsid w:val="00B05ABD"/>
    <w:rsid w:val="00B066CF"/>
    <w:rsid w:val="00B0691E"/>
    <w:rsid w:val="00B06D19"/>
    <w:rsid w:val="00B07DD5"/>
    <w:rsid w:val="00B10EC0"/>
    <w:rsid w:val="00B11547"/>
    <w:rsid w:val="00B12267"/>
    <w:rsid w:val="00B12761"/>
    <w:rsid w:val="00B12870"/>
    <w:rsid w:val="00B134A6"/>
    <w:rsid w:val="00B13A76"/>
    <w:rsid w:val="00B144E1"/>
    <w:rsid w:val="00B153C2"/>
    <w:rsid w:val="00B15982"/>
    <w:rsid w:val="00B161B2"/>
    <w:rsid w:val="00B16D3A"/>
    <w:rsid w:val="00B16F6F"/>
    <w:rsid w:val="00B2164A"/>
    <w:rsid w:val="00B22080"/>
    <w:rsid w:val="00B22D39"/>
    <w:rsid w:val="00B231A5"/>
    <w:rsid w:val="00B23474"/>
    <w:rsid w:val="00B23EB6"/>
    <w:rsid w:val="00B24070"/>
    <w:rsid w:val="00B2665A"/>
    <w:rsid w:val="00B26E7D"/>
    <w:rsid w:val="00B270BA"/>
    <w:rsid w:val="00B27B6A"/>
    <w:rsid w:val="00B302F0"/>
    <w:rsid w:val="00B302F7"/>
    <w:rsid w:val="00B3033B"/>
    <w:rsid w:val="00B30612"/>
    <w:rsid w:val="00B314A6"/>
    <w:rsid w:val="00B31693"/>
    <w:rsid w:val="00B31FD6"/>
    <w:rsid w:val="00B327CA"/>
    <w:rsid w:val="00B336DB"/>
    <w:rsid w:val="00B336F4"/>
    <w:rsid w:val="00B33C21"/>
    <w:rsid w:val="00B340FD"/>
    <w:rsid w:val="00B347A2"/>
    <w:rsid w:val="00B34FA1"/>
    <w:rsid w:val="00B354F4"/>
    <w:rsid w:val="00B355F3"/>
    <w:rsid w:val="00B36D3E"/>
    <w:rsid w:val="00B40075"/>
    <w:rsid w:val="00B40C8C"/>
    <w:rsid w:val="00B40EDD"/>
    <w:rsid w:val="00B412FE"/>
    <w:rsid w:val="00B41957"/>
    <w:rsid w:val="00B41A14"/>
    <w:rsid w:val="00B41AB7"/>
    <w:rsid w:val="00B41B56"/>
    <w:rsid w:val="00B41EE6"/>
    <w:rsid w:val="00B4209F"/>
    <w:rsid w:val="00B424B1"/>
    <w:rsid w:val="00B427AE"/>
    <w:rsid w:val="00B430EF"/>
    <w:rsid w:val="00B43B7B"/>
    <w:rsid w:val="00B4474C"/>
    <w:rsid w:val="00B44F17"/>
    <w:rsid w:val="00B459A6"/>
    <w:rsid w:val="00B45E40"/>
    <w:rsid w:val="00B473A7"/>
    <w:rsid w:val="00B47711"/>
    <w:rsid w:val="00B478CD"/>
    <w:rsid w:val="00B478D2"/>
    <w:rsid w:val="00B47E75"/>
    <w:rsid w:val="00B50488"/>
    <w:rsid w:val="00B509F3"/>
    <w:rsid w:val="00B509F5"/>
    <w:rsid w:val="00B50D6F"/>
    <w:rsid w:val="00B5102F"/>
    <w:rsid w:val="00B51A47"/>
    <w:rsid w:val="00B52C25"/>
    <w:rsid w:val="00B52C29"/>
    <w:rsid w:val="00B52E08"/>
    <w:rsid w:val="00B536E3"/>
    <w:rsid w:val="00B5436B"/>
    <w:rsid w:val="00B54693"/>
    <w:rsid w:val="00B54D30"/>
    <w:rsid w:val="00B54DB6"/>
    <w:rsid w:val="00B556A0"/>
    <w:rsid w:val="00B559B3"/>
    <w:rsid w:val="00B55C6E"/>
    <w:rsid w:val="00B560C8"/>
    <w:rsid w:val="00B5613E"/>
    <w:rsid w:val="00B56A54"/>
    <w:rsid w:val="00B56DC4"/>
    <w:rsid w:val="00B57224"/>
    <w:rsid w:val="00B5722F"/>
    <w:rsid w:val="00B57932"/>
    <w:rsid w:val="00B57F98"/>
    <w:rsid w:val="00B6012C"/>
    <w:rsid w:val="00B6083A"/>
    <w:rsid w:val="00B62EB6"/>
    <w:rsid w:val="00B62EFD"/>
    <w:rsid w:val="00B6357C"/>
    <w:rsid w:val="00B63DE7"/>
    <w:rsid w:val="00B6425A"/>
    <w:rsid w:val="00B64858"/>
    <w:rsid w:val="00B64BD8"/>
    <w:rsid w:val="00B655AE"/>
    <w:rsid w:val="00B65CC2"/>
    <w:rsid w:val="00B65F50"/>
    <w:rsid w:val="00B6647D"/>
    <w:rsid w:val="00B67A52"/>
    <w:rsid w:val="00B67C6E"/>
    <w:rsid w:val="00B70C97"/>
    <w:rsid w:val="00B71C84"/>
    <w:rsid w:val="00B722DF"/>
    <w:rsid w:val="00B724CD"/>
    <w:rsid w:val="00B726C4"/>
    <w:rsid w:val="00B72F0A"/>
    <w:rsid w:val="00B736FC"/>
    <w:rsid w:val="00B73797"/>
    <w:rsid w:val="00B73AE2"/>
    <w:rsid w:val="00B747CC"/>
    <w:rsid w:val="00B754FF"/>
    <w:rsid w:val="00B755B2"/>
    <w:rsid w:val="00B75842"/>
    <w:rsid w:val="00B75AA3"/>
    <w:rsid w:val="00B75EAF"/>
    <w:rsid w:val="00B76636"/>
    <w:rsid w:val="00B775FF"/>
    <w:rsid w:val="00B801DB"/>
    <w:rsid w:val="00B806E0"/>
    <w:rsid w:val="00B80F7E"/>
    <w:rsid w:val="00B810A4"/>
    <w:rsid w:val="00B81F35"/>
    <w:rsid w:val="00B820F0"/>
    <w:rsid w:val="00B841EB"/>
    <w:rsid w:val="00B846BE"/>
    <w:rsid w:val="00B84827"/>
    <w:rsid w:val="00B848BB"/>
    <w:rsid w:val="00B853D4"/>
    <w:rsid w:val="00B85DAD"/>
    <w:rsid w:val="00B872E2"/>
    <w:rsid w:val="00B879CC"/>
    <w:rsid w:val="00B87EF9"/>
    <w:rsid w:val="00B91455"/>
    <w:rsid w:val="00B92AD3"/>
    <w:rsid w:val="00B92D1F"/>
    <w:rsid w:val="00B92E08"/>
    <w:rsid w:val="00B93553"/>
    <w:rsid w:val="00B936E8"/>
    <w:rsid w:val="00B93D1D"/>
    <w:rsid w:val="00B947BC"/>
    <w:rsid w:val="00B94FC7"/>
    <w:rsid w:val="00B96364"/>
    <w:rsid w:val="00B9708A"/>
    <w:rsid w:val="00B97212"/>
    <w:rsid w:val="00B979F4"/>
    <w:rsid w:val="00BA00F8"/>
    <w:rsid w:val="00BA0E4B"/>
    <w:rsid w:val="00BA1BDE"/>
    <w:rsid w:val="00BA2D4F"/>
    <w:rsid w:val="00BA3145"/>
    <w:rsid w:val="00BA347C"/>
    <w:rsid w:val="00BA3C26"/>
    <w:rsid w:val="00BA46D2"/>
    <w:rsid w:val="00BA4A07"/>
    <w:rsid w:val="00BA4AD8"/>
    <w:rsid w:val="00BA4DFF"/>
    <w:rsid w:val="00BA53F1"/>
    <w:rsid w:val="00BA5BAE"/>
    <w:rsid w:val="00BA619A"/>
    <w:rsid w:val="00BA6480"/>
    <w:rsid w:val="00BA7ECD"/>
    <w:rsid w:val="00BB03CD"/>
    <w:rsid w:val="00BB27B7"/>
    <w:rsid w:val="00BB2B39"/>
    <w:rsid w:val="00BB3048"/>
    <w:rsid w:val="00BB307F"/>
    <w:rsid w:val="00BB3BEF"/>
    <w:rsid w:val="00BB4416"/>
    <w:rsid w:val="00BB45BB"/>
    <w:rsid w:val="00BB4FA7"/>
    <w:rsid w:val="00BB63A8"/>
    <w:rsid w:val="00BB76B4"/>
    <w:rsid w:val="00BB7A63"/>
    <w:rsid w:val="00BB7ABB"/>
    <w:rsid w:val="00BC00C8"/>
    <w:rsid w:val="00BC0172"/>
    <w:rsid w:val="00BC05B8"/>
    <w:rsid w:val="00BC06D9"/>
    <w:rsid w:val="00BC0A4D"/>
    <w:rsid w:val="00BC0BEF"/>
    <w:rsid w:val="00BC1684"/>
    <w:rsid w:val="00BC2020"/>
    <w:rsid w:val="00BC2388"/>
    <w:rsid w:val="00BC2C4B"/>
    <w:rsid w:val="00BC2DEE"/>
    <w:rsid w:val="00BC39A5"/>
    <w:rsid w:val="00BC3CF7"/>
    <w:rsid w:val="00BC550E"/>
    <w:rsid w:val="00BC5ECE"/>
    <w:rsid w:val="00BC67F8"/>
    <w:rsid w:val="00BC6C8B"/>
    <w:rsid w:val="00BC6FE7"/>
    <w:rsid w:val="00BC72FF"/>
    <w:rsid w:val="00BC7893"/>
    <w:rsid w:val="00BD00D7"/>
    <w:rsid w:val="00BD0639"/>
    <w:rsid w:val="00BD0B07"/>
    <w:rsid w:val="00BD171E"/>
    <w:rsid w:val="00BD1903"/>
    <w:rsid w:val="00BD21DF"/>
    <w:rsid w:val="00BD21E9"/>
    <w:rsid w:val="00BD237C"/>
    <w:rsid w:val="00BD2500"/>
    <w:rsid w:val="00BD2630"/>
    <w:rsid w:val="00BD2E41"/>
    <w:rsid w:val="00BD3449"/>
    <w:rsid w:val="00BD44DA"/>
    <w:rsid w:val="00BD4C1B"/>
    <w:rsid w:val="00BD4EAB"/>
    <w:rsid w:val="00BD632A"/>
    <w:rsid w:val="00BD6340"/>
    <w:rsid w:val="00BD723B"/>
    <w:rsid w:val="00BD7D4B"/>
    <w:rsid w:val="00BE1B17"/>
    <w:rsid w:val="00BE1BA3"/>
    <w:rsid w:val="00BE245A"/>
    <w:rsid w:val="00BE2566"/>
    <w:rsid w:val="00BE2E52"/>
    <w:rsid w:val="00BE3D22"/>
    <w:rsid w:val="00BE455B"/>
    <w:rsid w:val="00BE58C5"/>
    <w:rsid w:val="00BE59FD"/>
    <w:rsid w:val="00BE5C2C"/>
    <w:rsid w:val="00BE6173"/>
    <w:rsid w:val="00BE6B93"/>
    <w:rsid w:val="00BE700D"/>
    <w:rsid w:val="00BE7226"/>
    <w:rsid w:val="00BF001A"/>
    <w:rsid w:val="00BF00B2"/>
    <w:rsid w:val="00BF0189"/>
    <w:rsid w:val="00BF02DC"/>
    <w:rsid w:val="00BF09C9"/>
    <w:rsid w:val="00BF13BE"/>
    <w:rsid w:val="00BF14C9"/>
    <w:rsid w:val="00BF171A"/>
    <w:rsid w:val="00BF1E18"/>
    <w:rsid w:val="00BF21DA"/>
    <w:rsid w:val="00BF3466"/>
    <w:rsid w:val="00BF45E7"/>
    <w:rsid w:val="00BF5714"/>
    <w:rsid w:val="00BF5BA3"/>
    <w:rsid w:val="00BF5C91"/>
    <w:rsid w:val="00BF6E74"/>
    <w:rsid w:val="00BF787C"/>
    <w:rsid w:val="00C0032F"/>
    <w:rsid w:val="00C00622"/>
    <w:rsid w:val="00C00646"/>
    <w:rsid w:val="00C0092E"/>
    <w:rsid w:val="00C00B48"/>
    <w:rsid w:val="00C01539"/>
    <w:rsid w:val="00C01830"/>
    <w:rsid w:val="00C01F54"/>
    <w:rsid w:val="00C0231F"/>
    <w:rsid w:val="00C02405"/>
    <w:rsid w:val="00C02495"/>
    <w:rsid w:val="00C02B53"/>
    <w:rsid w:val="00C02CE3"/>
    <w:rsid w:val="00C03203"/>
    <w:rsid w:val="00C0339D"/>
    <w:rsid w:val="00C03BF5"/>
    <w:rsid w:val="00C04C22"/>
    <w:rsid w:val="00C04E09"/>
    <w:rsid w:val="00C0509D"/>
    <w:rsid w:val="00C0517A"/>
    <w:rsid w:val="00C05678"/>
    <w:rsid w:val="00C05C6E"/>
    <w:rsid w:val="00C067C0"/>
    <w:rsid w:val="00C067F2"/>
    <w:rsid w:val="00C06ED8"/>
    <w:rsid w:val="00C072F3"/>
    <w:rsid w:val="00C10E47"/>
    <w:rsid w:val="00C10F6A"/>
    <w:rsid w:val="00C1113A"/>
    <w:rsid w:val="00C11723"/>
    <w:rsid w:val="00C13148"/>
    <w:rsid w:val="00C132D7"/>
    <w:rsid w:val="00C1384F"/>
    <w:rsid w:val="00C141CA"/>
    <w:rsid w:val="00C14312"/>
    <w:rsid w:val="00C14C25"/>
    <w:rsid w:val="00C14D1D"/>
    <w:rsid w:val="00C150A7"/>
    <w:rsid w:val="00C151C3"/>
    <w:rsid w:val="00C158C4"/>
    <w:rsid w:val="00C15F28"/>
    <w:rsid w:val="00C17083"/>
    <w:rsid w:val="00C1730F"/>
    <w:rsid w:val="00C177A8"/>
    <w:rsid w:val="00C17CB6"/>
    <w:rsid w:val="00C20B52"/>
    <w:rsid w:val="00C216AF"/>
    <w:rsid w:val="00C22688"/>
    <w:rsid w:val="00C2296C"/>
    <w:rsid w:val="00C23032"/>
    <w:rsid w:val="00C24987"/>
    <w:rsid w:val="00C24ABE"/>
    <w:rsid w:val="00C24D7E"/>
    <w:rsid w:val="00C24E7A"/>
    <w:rsid w:val="00C2533F"/>
    <w:rsid w:val="00C25E0F"/>
    <w:rsid w:val="00C278D4"/>
    <w:rsid w:val="00C32275"/>
    <w:rsid w:val="00C32F0C"/>
    <w:rsid w:val="00C3346C"/>
    <w:rsid w:val="00C33693"/>
    <w:rsid w:val="00C336F6"/>
    <w:rsid w:val="00C337D2"/>
    <w:rsid w:val="00C338E7"/>
    <w:rsid w:val="00C33C40"/>
    <w:rsid w:val="00C33E55"/>
    <w:rsid w:val="00C343F2"/>
    <w:rsid w:val="00C34411"/>
    <w:rsid w:val="00C34C11"/>
    <w:rsid w:val="00C34D55"/>
    <w:rsid w:val="00C359D6"/>
    <w:rsid w:val="00C3659D"/>
    <w:rsid w:val="00C36D8E"/>
    <w:rsid w:val="00C404CF"/>
    <w:rsid w:val="00C40E03"/>
    <w:rsid w:val="00C41113"/>
    <w:rsid w:val="00C419D7"/>
    <w:rsid w:val="00C419D8"/>
    <w:rsid w:val="00C41C03"/>
    <w:rsid w:val="00C41CCD"/>
    <w:rsid w:val="00C41D26"/>
    <w:rsid w:val="00C42800"/>
    <w:rsid w:val="00C42C9F"/>
    <w:rsid w:val="00C42DAD"/>
    <w:rsid w:val="00C44037"/>
    <w:rsid w:val="00C458DC"/>
    <w:rsid w:val="00C4591B"/>
    <w:rsid w:val="00C45FDE"/>
    <w:rsid w:val="00C4759C"/>
    <w:rsid w:val="00C5001A"/>
    <w:rsid w:val="00C50099"/>
    <w:rsid w:val="00C5071B"/>
    <w:rsid w:val="00C51713"/>
    <w:rsid w:val="00C5215E"/>
    <w:rsid w:val="00C52399"/>
    <w:rsid w:val="00C52D96"/>
    <w:rsid w:val="00C53C20"/>
    <w:rsid w:val="00C54FDF"/>
    <w:rsid w:val="00C55676"/>
    <w:rsid w:val="00C5590D"/>
    <w:rsid w:val="00C5593C"/>
    <w:rsid w:val="00C567DA"/>
    <w:rsid w:val="00C56FC8"/>
    <w:rsid w:val="00C57201"/>
    <w:rsid w:val="00C57F1F"/>
    <w:rsid w:val="00C57F8B"/>
    <w:rsid w:val="00C60393"/>
    <w:rsid w:val="00C60550"/>
    <w:rsid w:val="00C60B36"/>
    <w:rsid w:val="00C61F6C"/>
    <w:rsid w:val="00C622F1"/>
    <w:rsid w:val="00C62A68"/>
    <w:rsid w:val="00C630AA"/>
    <w:rsid w:val="00C634BD"/>
    <w:rsid w:val="00C63E99"/>
    <w:rsid w:val="00C63FDB"/>
    <w:rsid w:val="00C643A1"/>
    <w:rsid w:val="00C652C8"/>
    <w:rsid w:val="00C663E5"/>
    <w:rsid w:val="00C66AAA"/>
    <w:rsid w:val="00C671EB"/>
    <w:rsid w:val="00C67892"/>
    <w:rsid w:val="00C67C77"/>
    <w:rsid w:val="00C67CD0"/>
    <w:rsid w:val="00C70249"/>
    <w:rsid w:val="00C70B1B"/>
    <w:rsid w:val="00C70EAE"/>
    <w:rsid w:val="00C7145B"/>
    <w:rsid w:val="00C7166B"/>
    <w:rsid w:val="00C71C69"/>
    <w:rsid w:val="00C7219B"/>
    <w:rsid w:val="00C72301"/>
    <w:rsid w:val="00C7255F"/>
    <w:rsid w:val="00C72B1A"/>
    <w:rsid w:val="00C72B7C"/>
    <w:rsid w:val="00C72BCD"/>
    <w:rsid w:val="00C73790"/>
    <w:rsid w:val="00C73EF4"/>
    <w:rsid w:val="00C748B3"/>
    <w:rsid w:val="00C74A42"/>
    <w:rsid w:val="00C754C4"/>
    <w:rsid w:val="00C768BF"/>
    <w:rsid w:val="00C76BCC"/>
    <w:rsid w:val="00C775D3"/>
    <w:rsid w:val="00C77F56"/>
    <w:rsid w:val="00C77F5C"/>
    <w:rsid w:val="00C80F08"/>
    <w:rsid w:val="00C81179"/>
    <w:rsid w:val="00C818EF"/>
    <w:rsid w:val="00C81CD7"/>
    <w:rsid w:val="00C81E4E"/>
    <w:rsid w:val="00C81F8B"/>
    <w:rsid w:val="00C825F0"/>
    <w:rsid w:val="00C82BA7"/>
    <w:rsid w:val="00C82CCF"/>
    <w:rsid w:val="00C83001"/>
    <w:rsid w:val="00C839F5"/>
    <w:rsid w:val="00C84647"/>
    <w:rsid w:val="00C855A9"/>
    <w:rsid w:val="00C85FC7"/>
    <w:rsid w:val="00C863E8"/>
    <w:rsid w:val="00C864B4"/>
    <w:rsid w:val="00C868B3"/>
    <w:rsid w:val="00C86A17"/>
    <w:rsid w:val="00C900A2"/>
    <w:rsid w:val="00C9043E"/>
    <w:rsid w:val="00C90668"/>
    <w:rsid w:val="00C90702"/>
    <w:rsid w:val="00C91140"/>
    <w:rsid w:val="00C912B3"/>
    <w:rsid w:val="00C917EF"/>
    <w:rsid w:val="00C925DC"/>
    <w:rsid w:val="00C92606"/>
    <w:rsid w:val="00C92698"/>
    <w:rsid w:val="00C92C99"/>
    <w:rsid w:val="00C92CE7"/>
    <w:rsid w:val="00C93BA7"/>
    <w:rsid w:val="00C9429F"/>
    <w:rsid w:val="00C94AD8"/>
    <w:rsid w:val="00C95C19"/>
    <w:rsid w:val="00C96AC3"/>
    <w:rsid w:val="00C96F00"/>
    <w:rsid w:val="00C977BF"/>
    <w:rsid w:val="00C97B37"/>
    <w:rsid w:val="00CA0A01"/>
    <w:rsid w:val="00CA0F3A"/>
    <w:rsid w:val="00CA1ECF"/>
    <w:rsid w:val="00CA2966"/>
    <w:rsid w:val="00CA2E8E"/>
    <w:rsid w:val="00CA3CCE"/>
    <w:rsid w:val="00CA4CCD"/>
    <w:rsid w:val="00CA4DDD"/>
    <w:rsid w:val="00CA5634"/>
    <w:rsid w:val="00CA56D9"/>
    <w:rsid w:val="00CA5881"/>
    <w:rsid w:val="00CA60FE"/>
    <w:rsid w:val="00CA613A"/>
    <w:rsid w:val="00CA6B77"/>
    <w:rsid w:val="00CA6F2E"/>
    <w:rsid w:val="00CA71FB"/>
    <w:rsid w:val="00CB0280"/>
    <w:rsid w:val="00CB0688"/>
    <w:rsid w:val="00CB078A"/>
    <w:rsid w:val="00CB0B11"/>
    <w:rsid w:val="00CB0E11"/>
    <w:rsid w:val="00CB0FD1"/>
    <w:rsid w:val="00CB19C5"/>
    <w:rsid w:val="00CB1F10"/>
    <w:rsid w:val="00CB1FD9"/>
    <w:rsid w:val="00CB225B"/>
    <w:rsid w:val="00CB2300"/>
    <w:rsid w:val="00CB249E"/>
    <w:rsid w:val="00CB2CB6"/>
    <w:rsid w:val="00CB32EC"/>
    <w:rsid w:val="00CB33FA"/>
    <w:rsid w:val="00CB34CE"/>
    <w:rsid w:val="00CB3731"/>
    <w:rsid w:val="00CB3986"/>
    <w:rsid w:val="00CB3E94"/>
    <w:rsid w:val="00CB40E0"/>
    <w:rsid w:val="00CB4AE8"/>
    <w:rsid w:val="00CB51A4"/>
    <w:rsid w:val="00CB5A50"/>
    <w:rsid w:val="00CB66B5"/>
    <w:rsid w:val="00CB6970"/>
    <w:rsid w:val="00CB69FC"/>
    <w:rsid w:val="00CB6CE7"/>
    <w:rsid w:val="00CB7619"/>
    <w:rsid w:val="00CB7FC3"/>
    <w:rsid w:val="00CC0429"/>
    <w:rsid w:val="00CC0E32"/>
    <w:rsid w:val="00CC381F"/>
    <w:rsid w:val="00CC3F66"/>
    <w:rsid w:val="00CC41A3"/>
    <w:rsid w:val="00CC4518"/>
    <w:rsid w:val="00CC5D2D"/>
    <w:rsid w:val="00CC6DD0"/>
    <w:rsid w:val="00CC7D0E"/>
    <w:rsid w:val="00CD0645"/>
    <w:rsid w:val="00CD19CC"/>
    <w:rsid w:val="00CD1DC7"/>
    <w:rsid w:val="00CD20CD"/>
    <w:rsid w:val="00CD28B1"/>
    <w:rsid w:val="00CD28BE"/>
    <w:rsid w:val="00CD2E27"/>
    <w:rsid w:val="00CD3F02"/>
    <w:rsid w:val="00CD428B"/>
    <w:rsid w:val="00CD4D96"/>
    <w:rsid w:val="00CD5A41"/>
    <w:rsid w:val="00CD6B1E"/>
    <w:rsid w:val="00CD764B"/>
    <w:rsid w:val="00CD77B1"/>
    <w:rsid w:val="00CD78EE"/>
    <w:rsid w:val="00CE02BA"/>
    <w:rsid w:val="00CE02EB"/>
    <w:rsid w:val="00CE0382"/>
    <w:rsid w:val="00CE0451"/>
    <w:rsid w:val="00CE0B37"/>
    <w:rsid w:val="00CE12AF"/>
    <w:rsid w:val="00CE1C30"/>
    <w:rsid w:val="00CE27EF"/>
    <w:rsid w:val="00CE2BFE"/>
    <w:rsid w:val="00CE3E2C"/>
    <w:rsid w:val="00CE420C"/>
    <w:rsid w:val="00CE4236"/>
    <w:rsid w:val="00CE487E"/>
    <w:rsid w:val="00CE4884"/>
    <w:rsid w:val="00CE4A8E"/>
    <w:rsid w:val="00CE5024"/>
    <w:rsid w:val="00CE6528"/>
    <w:rsid w:val="00CE6895"/>
    <w:rsid w:val="00CE6A20"/>
    <w:rsid w:val="00CE79FD"/>
    <w:rsid w:val="00CE7AE1"/>
    <w:rsid w:val="00CF0039"/>
    <w:rsid w:val="00CF0CAC"/>
    <w:rsid w:val="00CF15E6"/>
    <w:rsid w:val="00CF17F7"/>
    <w:rsid w:val="00CF27BC"/>
    <w:rsid w:val="00CF3546"/>
    <w:rsid w:val="00CF3750"/>
    <w:rsid w:val="00CF3C17"/>
    <w:rsid w:val="00CF3EA9"/>
    <w:rsid w:val="00CF43BD"/>
    <w:rsid w:val="00CF4816"/>
    <w:rsid w:val="00CF5F82"/>
    <w:rsid w:val="00CF5FA6"/>
    <w:rsid w:val="00CF646D"/>
    <w:rsid w:val="00CF6526"/>
    <w:rsid w:val="00CF70F5"/>
    <w:rsid w:val="00CF74AE"/>
    <w:rsid w:val="00CF768D"/>
    <w:rsid w:val="00D00A02"/>
    <w:rsid w:val="00D00B3B"/>
    <w:rsid w:val="00D01DC1"/>
    <w:rsid w:val="00D038A2"/>
    <w:rsid w:val="00D0552C"/>
    <w:rsid w:val="00D061FD"/>
    <w:rsid w:val="00D06267"/>
    <w:rsid w:val="00D06545"/>
    <w:rsid w:val="00D06A14"/>
    <w:rsid w:val="00D07650"/>
    <w:rsid w:val="00D101C7"/>
    <w:rsid w:val="00D10C4C"/>
    <w:rsid w:val="00D10FA4"/>
    <w:rsid w:val="00D11852"/>
    <w:rsid w:val="00D118AD"/>
    <w:rsid w:val="00D12DDA"/>
    <w:rsid w:val="00D147A3"/>
    <w:rsid w:val="00D15222"/>
    <w:rsid w:val="00D156F4"/>
    <w:rsid w:val="00D15834"/>
    <w:rsid w:val="00D15F2E"/>
    <w:rsid w:val="00D16542"/>
    <w:rsid w:val="00D167B9"/>
    <w:rsid w:val="00D16F18"/>
    <w:rsid w:val="00D2052B"/>
    <w:rsid w:val="00D20AFE"/>
    <w:rsid w:val="00D210A7"/>
    <w:rsid w:val="00D219C7"/>
    <w:rsid w:val="00D22450"/>
    <w:rsid w:val="00D234A5"/>
    <w:rsid w:val="00D237B0"/>
    <w:rsid w:val="00D23D7C"/>
    <w:rsid w:val="00D242F2"/>
    <w:rsid w:val="00D249CF"/>
    <w:rsid w:val="00D26F19"/>
    <w:rsid w:val="00D27E8B"/>
    <w:rsid w:val="00D3032C"/>
    <w:rsid w:val="00D318DA"/>
    <w:rsid w:val="00D31DBF"/>
    <w:rsid w:val="00D337B2"/>
    <w:rsid w:val="00D33881"/>
    <w:rsid w:val="00D343E2"/>
    <w:rsid w:val="00D34776"/>
    <w:rsid w:val="00D34F48"/>
    <w:rsid w:val="00D35204"/>
    <w:rsid w:val="00D35249"/>
    <w:rsid w:val="00D36770"/>
    <w:rsid w:val="00D36A3F"/>
    <w:rsid w:val="00D374E4"/>
    <w:rsid w:val="00D37982"/>
    <w:rsid w:val="00D37D38"/>
    <w:rsid w:val="00D403D6"/>
    <w:rsid w:val="00D408BD"/>
    <w:rsid w:val="00D40D47"/>
    <w:rsid w:val="00D41373"/>
    <w:rsid w:val="00D41DDA"/>
    <w:rsid w:val="00D4222C"/>
    <w:rsid w:val="00D42A1A"/>
    <w:rsid w:val="00D4326D"/>
    <w:rsid w:val="00D434D4"/>
    <w:rsid w:val="00D43A4F"/>
    <w:rsid w:val="00D43D8A"/>
    <w:rsid w:val="00D43E5E"/>
    <w:rsid w:val="00D44047"/>
    <w:rsid w:val="00D44144"/>
    <w:rsid w:val="00D4534B"/>
    <w:rsid w:val="00D45C80"/>
    <w:rsid w:val="00D46239"/>
    <w:rsid w:val="00D47862"/>
    <w:rsid w:val="00D50492"/>
    <w:rsid w:val="00D5078B"/>
    <w:rsid w:val="00D50A23"/>
    <w:rsid w:val="00D5134D"/>
    <w:rsid w:val="00D53041"/>
    <w:rsid w:val="00D53060"/>
    <w:rsid w:val="00D53A9C"/>
    <w:rsid w:val="00D54376"/>
    <w:rsid w:val="00D5532A"/>
    <w:rsid w:val="00D55BDF"/>
    <w:rsid w:val="00D55F8C"/>
    <w:rsid w:val="00D5713B"/>
    <w:rsid w:val="00D6022B"/>
    <w:rsid w:val="00D60A1C"/>
    <w:rsid w:val="00D61868"/>
    <w:rsid w:val="00D620C7"/>
    <w:rsid w:val="00D62CE9"/>
    <w:rsid w:val="00D62E69"/>
    <w:rsid w:val="00D6313C"/>
    <w:rsid w:val="00D63AFA"/>
    <w:rsid w:val="00D63CBC"/>
    <w:rsid w:val="00D63FD6"/>
    <w:rsid w:val="00D64627"/>
    <w:rsid w:val="00D65359"/>
    <w:rsid w:val="00D6543E"/>
    <w:rsid w:val="00D65D7C"/>
    <w:rsid w:val="00D66061"/>
    <w:rsid w:val="00D663B8"/>
    <w:rsid w:val="00D666F7"/>
    <w:rsid w:val="00D675DD"/>
    <w:rsid w:val="00D67D28"/>
    <w:rsid w:val="00D70A06"/>
    <w:rsid w:val="00D71274"/>
    <w:rsid w:val="00D734BD"/>
    <w:rsid w:val="00D73E67"/>
    <w:rsid w:val="00D73F5D"/>
    <w:rsid w:val="00D74363"/>
    <w:rsid w:val="00D74B89"/>
    <w:rsid w:val="00D74DCA"/>
    <w:rsid w:val="00D751AA"/>
    <w:rsid w:val="00D754F0"/>
    <w:rsid w:val="00D75B7D"/>
    <w:rsid w:val="00D768FF"/>
    <w:rsid w:val="00D7691F"/>
    <w:rsid w:val="00D7695A"/>
    <w:rsid w:val="00D76E2C"/>
    <w:rsid w:val="00D803A6"/>
    <w:rsid w:val="00D808E6"/>
    <w:rsid w:val="00D809CB"/>
    <w:rsid w:val="00D80C08"/>
    <w:rsid w:val="00D816C7"/>
    <w:rsid w:val="00D8297E"/>
    <w:rsid w:val="00D83846"/>
    <w:rsid w:val="00D83ACB"/>
    <w:rsid w:val="00D83EC1"/>
    <w:rsid w:val="00D84553"/>
    <w:rsid w:val="00D846A9"/>
    <w:rsid w:val="00D849E6"/>
    <w:rsid w:val="00D84A6E"/>
    <w:rsid w:val="00D84C7B"/>
    <w:rsid w:val="00D85628"/>
    <w:rsid w:val="00D86900"/>
    <w:rsid w:val="00D86B62"/>
    <w:rsid w:val="00D876BA"/>
    <w:rsid w:val="00D87B1D"/>
    <w:rsid w:val="00D87BC5"/>
    <w:rsid w:val="00D905FE"/>
    <w:rsid w:val="00D919CF"/>
    <w:rsid w:val="00D91C81"/>
    <w:rsid w:val="00D91CB6"/>
    <w:rsid w:val="00D9205D"/>
    <w:rsid w:val="00D9228C"/>
    <w:rsid w:val="00D926E3"/>
    <w:rsid w:val="00D927CA"/>
    <w:rsid w:val="00D92CB3"/>
    <w:rsid w:val="00D93104"/>
    <w:rsid w:val="00D93107"/>
    <w:rsid w:val="00D93644"/>
    <w:rsid w:val="00D938C2"/>
    <w:rsid w:val="00D93FBF"/>
    <w:rsid w:val="00D94D09"/>
    <w:rsid w:val="00D9510A"/>
    <w:rsid w:val="00D95331"/>
    <w:rsid w:val="00D95ED3"/>
    <w:rsid w:val="00D96426"/>
    <w:rsid w:val="00D967F1"/>
    <w:rsid w:val="00D9694E"/>
    <w:rsid w:val="00D97A76"/>
    <w:rsid w:val="00DA0D27"/>
    <w:rsid w:val="00DA1D2A"/>
    <w:rsid w:val="00DA1FF3"/>
    <w:rsid w:val="00DA2494"/>
    <w:rsid w:val="00DA28C0"/>
    <w:rsid w:val="00DA360B"/>
    <w:rsid w:val="00DA3DA8"/>
    <w:rsid w:val="00DA5DF2"/>
    <w:rsid w:val="00DA67BC"/>
    <w:rsid w:val="00DA6A45"/>
    <w:rsid w:val="00DA6D3A"/>
    <w:rsid w:val="00DB0AEE"/>
    <w:rsid w:val="00DB1479"/>
    <w:rsid w:val="00DB1653"/>
    <w:rsid w:val="00DB26BE"/>
    <w:rsid w:val="00DB285B"/>
    <w:rsid w:val="00DB2AB8"/>
    <w:rsid w:val="00DB2D76"/>
    <w:rsid w:val="00DB369C"/>
    <w:rsid w:val="00DB388D"/>
    <w:rsid w:val="00DB3EC1"/>
    <w:rsid w:val="00DB454D"/>
    <w:rsid w:val="00DB46F2"/>
    <w:rsid w:val="00DB5089"/>
    <w:rsid w:val="00DB50BE"/>
    <w:rsid w:val="00DB5682"/>
    <w:rsid w:val="00DB5771"/>
    <w:rsid w:val="00DB5AA7"/>
    <w:rsid w:val="00DB5F43"/>
    <w:rsid w:val="00DB61B6"/>
    <w:rsid w:val="00DB6A2E"/>
    <w:rsid w:val="00DB6B6D"/>
    <w:rsid w:val="00DB78F9"/>
    <w:rsid w:val="00DB7C1D"/>
    <w:rsid w:val="00DC03FE"/>
    <w:rsid w:val="00DC0A98"/>
    <w:rsid w:val="00DC0E8F"/>
    <w:rsid w:val="00DC1653"/>
    <w:rsid w:val="00DC2888"/>
    <w:rsid w:val="00DC38F3"/>
    <w:rsid w:val="00DC3F4D"/>
    <w:rsid w:val="00DC419F"/>
    <w:rsid w:val="00DC4975"/>
    <w:rsid w:val="00DC4B5C"/>
    <w:rsid w:val="00DC56C1"/>
    <w:rsid w:val="00DC59F4"/>
    <w:rsid w:val="00DC5B89"/>
    <w:rsid w:val="00DC6389"/>
    <w:rsid w:val="00DC691E"/>
    <w:rsid w:val="00DC775F"/>
    <w:rsid w:val="00DD0F61"/>
    <w:rsid w:val="00DD273D"/>
    <w:rsid w:val="00DD3728"/>
    <w:rsid w:val="00DD405D"/>
    <w:rsid w:val="00DD4B23"/>
    <w:rsid w:val="00DD5060"/>
    <w:rsid w:val="00DD523D"/>
    <w:rsid w:val="00DD561B"/>
    <w:rsid w:val="00DD57E9"/>
    <w:rsid w:val="00DD5CE2"/>
    <w:rsid w:val="00DD6611"/>
    <w:rsid w:val="00DD7745"/>
    <w:rsid w:val="00DE03FC"/>
    <w:rsid w:val="00DE0B63"/>
    <w:rsid w:val="00DE0D00"/>
    <w:rsid w:val="00DE0F64"/>
    <w:rsid w:val="00DE1945"/>
    <w:rsid w:val="00DE2B48"/>
    <w:rsid w:val="00DE32A7"/>
    <w:rsid w:val="00DE3950"/>
    <w:rsid w:val="00DE3A3A"/>
    <w:rsid w:val="00DE3A75"/>
    <w:rsid w:val="00DE3C5B"/>
    <w:rsid w:val="00DE4092"/>
    <w:rsid w:val="00DE4429"/>
    <w:rsid w:val="00DE4A44"/>
    <w:rsid w:val="00DE5224"/>
    <w:rsid w:val="00DE55BD"/>
    <w:rsid w:val="00DE5767"/>
    <w:rsid w:val="00DE5C6C"/>
    <w:rsid w:val="00DE66DD"/>
    <w:rsid w:val="00DE7693"/>
    <w:rsid w:val="00DF0886"/>
    <w:rsid w:val="00DF0B52"/>
    <w:rsid w:val="00DF284F"/>
    <w:rsid w:val="00DF2B38"/>
    <w:rsid w:val="00DF2D28"/>
    <w:rsid w:val="00DF3C7F"/>
    <w:rsid w:val="00DF54AB"/>
    <w:rsid w:val="00DF5527"/>
    <w:rsid w:val="00DF67F9"/>
    <w:rsid w:val="00DF6EA6"/>
    <w:rsid w:val="00DF74BD"/>
    <w:rsid w:val="00DF7584"/>
    <w:rsid w:val="00E0026D"/>
    <w:rsid w:val="00E00DC1"/>
    <w:rsid w:val="00E01285"/>
    <w:rsid w:val="00E0238B"/>
    <w:rsid w:val="00E02400"/>
    <w:rsid w:val="00E03B37"/>
    <w:rsid w:val="00E04F27"/>
    <w:rsid w:val="00E0536E"/>
    <w:rsid w:val="00E0695B"/>
    <w:rsid w:val="00E07330"/>
    <w:rsid w:val="00E07BEF"/>
    <w:rsid w:val="00E10164"/>
    <w:rsid w:val="00E10AA6"/>
    <w:rsid w:val="00E11043"/>
    <w:rsid w:val="00E11277"/>
    <w:rsid w:val="00E116E7"/>
    <w:rsid w:val="00E12886"/>
    <w:rsid w:val="00E13EEF"/>
    <w:rsid w:val="00E1482B"/>
    <w:rsid w:val="00E14936"/>
    <w:rsid w:val="00E14B5C"/>
    <w:rsid w:val="00E14E3C"/>
    <w:rsid w:val="00E14F82"/>
    <w:rsid w:val="00E14FB5"/>
    <w:rsid w:val="00E1505A"/>
    <w:rsid w:val="00E15B6E"/>
    <w:rsid w:val="00E16229"/>
    <w:rsid w:val="00E16E96"/>
    <w:rsid w:val="00E173EF"/>
    <w:rsid w:val="00E17408"/>
    <w:rsid w:val="00E1792C"/>
    <w:rsid w:val="00E2023F"/>
    <w:rsid w:val="00E20400"/>
    <w:rsid w:val="00E20AF2"/>
    <w:rsid w:val="00E20F60"/>
    <w:rsid w:val="00E2109B"/>
    <w:rsid w:val="00E22476"/>
    <w:rsid w:val="00E231B3"/>
    <w:rsid w:val="00E23D84"/>
    <w:rsid w:val="00E247E8"/>
    <w:rsid w:val="00E2491F"/>
    <w:rsid w:val="00E24B32"/>
    <w:rsid w:val="00E2532B"/>
    <w:rsid w:val="00E25E78"/>
    <w:rsid w:val="00E2632C"/>
    <w:rsid w:val="00E26929"/>
    <w:rsid w:val="00E26A8D"/>
    <w:rsid w:val="00E26FE5"/>
    <w:rsid w:val="00E27926"/>
    <w:rsid w:val="00E306C1"/>
    <w:rsid w:val="00E30F25"/>
    <w:rsid w:val="00E347E5"/>
    <w:rsid w:val="00E34885"/>
    <w:rsid w:val="00E34AD1"/>
    <w:rsid w:val="00E35548"/>
    <w:rsid w:val="00E357E6"/>
    <w:rsid w:val="00E35A97"/>
    <w:rsid w:val="00E35E47"/>
    <w:rsid w:val="00E368A8"/>
    <w:rsid w:val="00E36B0B"/>
    <w:rsid w:val="00E3725A"/>
    <w:rsid w:val="00E37625"/>
    <w:rsid w:val="00E40775"/>
    <w:rsid w:val="00E40809"/>
    <w:rsid w:val="00E422AA"/>
    <w:rsid w:val="00E425D1"/>
    <w:rsid w:val="00E42ACE"/>
    <w:rsid w:val="00E430DC"/>
    <w:rsid w:val="00E4322C"/>
    <w:rsid w:val="00E44468"/>
    <w:rsid w:val="00E457A8"/>
    <w:rsid w:val="00E45923"/>
    <w:rsid w:val="00E4686E"/>
    <w:rsid w:val="00E47202"/>
    <w:rsid w:val="00E47412"/>
    <w:rsid w:val="00E5034B"/>
    <w:rsid w:val="00E5096A"/>
    <w:rsid w:val="00E5098A"/>
    <w:rsid w:val="00E50BFA"/>
    <w:rsid w:val="00E50D98"/>
    <w:rsid w:val="00E50DA1"/>
    <w:rsid w:val="00E5123D"/>
    <w:rsid w:val="00E51F04"/>
    <w:rsid w:val="00E53781"/>
    <w:rsid w:val="00E54A82"/>
    <w:rsid w:val="00E55F32"/>
    <w:rsid w:val="00E57998"/>
    <w:rsid w:val="00E605F2"/>
    <w:rsid w:val="00E608AA"/>
    <w:rsid w:val="00E60912"/>
    <w:rsid w:val="00E60B69"/>
    <w:rsid w:val="00E61553"/>
    <w:rsid w:val="00E61B4C"/>
    <w:rsid w:val="00E61E36"/>
    <w:rsid w:val="00E62945"/>
    <w:rsid w:val="00E6327F"/>
    <w:rsid w:val="00E63F6F"/>
    <w:rsid w:val="00E64270"/>
    <w:rsid w:val="00E648EA"/>
    <w:rsid w:val="00E64BC5"/>
    <w:rsid w:val="00E65308"/>
    <w:rsid w:val="00E65C6A"/>
    <w:rsid w:val="00E666B3"/>
    <w:rsid w:val="00E67D74"/>
    <w:rsid w:val="00E67E0A"/>
    <w:rsid w:val="00E700B9"/>
    <w:rsid w:val="00E7239E"/>
    <w:rsid w:val="00E72958"/>
    <w:rsid w:val="00E72E20"/>
    <w:rsid w:val="00E73519"/>
    <w:rsid w:val="00E7376B"/>
    <w:rsid w:val="00E73B47"/>
    <w:rsid w:val="00E73FC5"/>
    <w:rsid w:val="00E74511"/>
    <w:rsid w:val="00E748BE"/>
    <w:rsid w:val="00E7549D"/>
    <w:rsid w:val="00E754E5"/>
    <w:rsid w:val="00E75B94"/>
    <w:rsid w:val="00E75F3F"/>
    <w:rsid w:val="00E76090"/>
    <w:rsid w:val="00E761CE"/>
    <w:rsid w:val="00E772DA"/>
    <w:rsid w:val="00E800DA"/>
    <w:rsid w:val="00E804A1"/>
    <w:rsid w:val="00E80521"/>
    <w:rsid w:val="00E8065E"/>
    <w:rsid w:val="00E80E45"/>
    <w:rsid w:val="00E81112"/>
    <w:rsid w:val="00E811FF"/>
    <w:rsid w:val="00E81757"/>
    <w:rsid w:val="00E81DD7"/>
    <w:rsid w:val="00E820C5"/>
    <w:rsid w:val="00E82422"/>
    <w:rsid w:val="00E825E7"/>
    <w:rsid w:val="00E82BCC"/>
    <w:rsid w:val="00E84719"/>
    <w:rsid w:val="00E8489C"/>
    <w:rsid w:val="00E849F0"/>
    <w:rsid w:val="00E85021"/>
    <w:rsid w:val="00E858F4"/>
    <w:rsid w:val="00E85AAB"/>
    <w:rsid w:val="00E86057"/>
    <w:rsid w:val="00E864CC"/>
    <w:rsid w:val="00E8664B"/>
    <w:rsid w:val="00E86B29"/>
    <w:rsid w:val="00E86C5D"/>
    <w:rsid w:val="00E86E64"/>
    <w:rsid w:val="00E905CD"/>
    <w:rsid w:val="00E906B3"/>
    <w:rsid w:val="00E910C8"/>
    <w:rsid w:val="00E918F6"/>
    <w:rsid w:val="00E93467"/>
    <w:rsid w:val="00E9349F"/>
    <w:rsid w:val="00E93500"/>
    <w:rsid w:val="00E93921"/>
    <w:rsid w:val="00E93ABD"/>
    <w:rsid w:val="00E9436D"/>
    <w:rsid w:val="00E94A19"/>
    <w:rsid w:val="00E94E29"/>
    <w:rsid w:val="00E95399"/>
    <w:rsid w:val="00E95720"/>
    <w:rsid w:val="00E95769"/>
    <w:rsid w:val="00E9592F"/>
    <w:rsid w:val="00E961D6"/>
    <w:rsid w:val="00E96421"/>
    <w:rsid w:val="00E964A1"/>
    <w:rsid w:val="00E96DFF"/>
    <w:rsid w:val="00E9708B"/>
    <w:rsid w:val="00E970B9"/>
    <w:rsid w:val="00E97DAD"/>
    <w:rsid w:val="00EA03D5"/>
    <w:rsid w:val="00EA0407"/>
    <w:rsid w:val="00EA0445"/>
    <w:rsid w:val="00EA0957"/>
    <w:rsid w:val="00EA102D"/>
    <w:rsid w:val="00EA1A31"/>
    <w:rsid w:val="00EA2043"/>
    <w:rsid w:val="00EA2D42"/>
    <w:rsid w:val="00EA2EEC"/>
    <w:rsid w:val="00EA2F6C"/>
    <w:rsid w:val="00EA3882"/>
    <w:rsid w:val="00EA5201"/>
    <w:rsid w:val="00EA560F"/>
    <w:rsid w:val="00EA5B6E"/>
    <w:rsid w:val="00EA5E88"/>
    <w:rsid w:val="00EA63C1"/>
    <w:rsid w:val="00EA6D90"/>
    <w:rsid w:val="00EA7CA7"/>
    <w:rsid w:val="00EB1C5B"/>
    <w:rsid w:val="00EB2832"/>
    <w:rsid w:val="00EB2F8A"/>
    <w:rsid w:val="00EB309A"/>
    <w:rsid w:val="00EB34AB"/>
    <w:rsid w:val="00EB394E"/>
    <w:rsid w:val="00EB437D"/>
    <w:rsid w:val="00EB70DE"/>
    <w:rsid w:val="00EB7471"/>
    <w:rsid w:val="00EC0772"/>
    <w:rsid w:val="00EC08F2"/>
    <w:rsid w:val="00EC1E53"/>
    <w:rsid w:val="00EC20B9"/>
    <w:rsid w:val="00EC26FC"/>
    <w:rsid w:val="00EC2CDA"/>
    <w:rsid w:val="00EC2D2B"/>
    <w:rsid w:val="00EC2E56"/>
    <w:rsid w:val="00EC3500"/>
    <w:rsid w:val="00EC4080"/>
    <w:rsid w:val="00EC4578"/>
    <w:rsid w:val="00EC4CC3"/>
    <w:rsid w:val="00EC4F44"/>
    <w:rsid w:val="00EC5285"/>
    <w:rsid w:val="00EC5D63"/>
    <w:rsid w:val="00EC60FE"/>
    <w:rsid w:val="00EC6729"/>
    <w:rsid w:val="00EC6DCE"/>
    <w:rsid w:val="00EC70A0"/>
    <w:rsid w:val="00EC785C"/>
    <w:rsid w:val="00EC7D7E"/>
    <w:rsid w:val="00ED0923"/>
    <w:rsid w:val="00ED27AF"/>
    <w:rsid w:val="00ED3A12"/>
    <w:rsid w:val="00ED3BDD"/>
    <w:rsid w:val="00ED3C8D"/>
    <w:rsid w:val="00ED5076"/>
    <w:rsid w:val="00ED528B"/>
    <w:rsid w:val="00ED53E7"/>
    <w:rsid w:val="00ED6D97"/>
    <w:rsid w:val="00ED7070"/>
    <w:rsid w:val="00ED798B"/>
    <w:rsid w:val="00ED7D36"/>
    <w:rsid w:val="00EE0C41"/>
    <w:rsid w:val="00EE0E5B"/>
    <w:rsid w:val="00EE13FE"/>
    <w:rsid w:val="00EE20A6"/>
    <w:rsid w:val="00EE2B2B"/>
    <w:rsid w:val="00EE3F07"/>
    <w:rsid w:val="00EE44FE"/>
    <w:rsid w:val="00EE5A86"/>
    <w:rsid w:val="00EE62AC"/>
    <w:rsid w:val="00EE62F0"/>
    <w:rsid w:val="00EE6BF4"/>
    <w:rsid w:val="00EE772A"/>
    <w:rsid w:val="00EE7D3D"/>
    <w:rsid w:val="00EE7F85"/>
    <w:rsid w:val="00EF0291"/>
    <w:rsid w:val="00EF06D9"/>
    <w:rsid w:val="00EF08A6"/>
    <w:rsid w:val="00EF0C75"/>
    <w:rsid w:val="00EF1532"/>
    <w:rsid w:val="00EF1844"/>
    <w:rsid w:val="00EF19DA"/>
    <w:rsid w:val="00EF1E21"/>
    <w:rsid w:val="00EF25B1"/>
    <w:rsid w:val="00EF2836"/>
    <w:rsid w:val="00EF2BC1"/>
    <w:rsid w:val="00EF2BFB"/>
    <w:rsid w:val="00EF3FB6"/>
    <w:rsid w:val="00EF4989"/>
    <w:rsid w:val="00EF59F3"/>
    <w:rsid w:val="00EF690B"/>
    <w:rsid w:val="00EF73EC"/>
    <w:rsid w:val="00EF7935"/>
    <w:rsid w:val="00EF7A5E"/>
    <w:rsid w:val="00EF7E0E"/>
    <w:rsid w:val="00EF7F8E"/>
    <w:rsid w:val="00F006F3"/>
    <w:rsid w:val="00F00D7C"/>
    <w:rsid w:val="00F01512"/>
    <w:rsid w:val="00F0159E"/>
    <w:rsid w:val="00F01BAF"/>
    <w:rsid w:val="00F01C6B"/>
    <w:rsid w:val="00F01D9A"/>
    <w:rsid w:val="00F029BE"/>
    <w:rsid w:val="00F02A40"/>
    <w:rsid w:val="00F02D47"/>
    <w:rsid w:val="00F03212"/>
    <w:rsid w:val="00F03B28"/>
    <w:rsid w:val="00F03EBB"/>
    <w:rsid w:val="00F0523B"/>
    <w:rsid w:val="00F053D3"/>
    <w:rsid w:val="00F05D3C"/>
    <w:rsid w:val="00F064F4"/>
    <w:rsid w:val="00F072E7"/>
    <w:rsid w:val="00F07AF4"/>
    <w:rsid w:val="00F102D9"/>
    <w:rsid w:val="00F10BBF"/>
    <w:rsid w:val="00F12043"/>
    <w:rsid w:val="00F13A8C"/>
    <w:rsid w:val="00F14819"/>
    <w:rsid w:val="00F15541"/>
    <w:rsid w:val="00F16AB3"/>
    <w:rsid w:val="00F16BA2"/>
    <w:rsid w:val="00F16F57"/>
    <w:rsid w:val="00F171FF"/>
    <w:rsid w:val="00F17A77"/>
    <w:rsid w:val="00F22B28"/>
    <w:rsid w:val="00F22C93"/>
    <w:rsid w:val="00F2311B"/>
    <w:rsid w:val="00F242B5"/>
    <w:rsid w:val="00F24D7E"/>
    <w:rsid w:val="00F26F22"/>
    <w:rsid w:val="00F2736E"/>
    <w:rsid w:val="00F27559"/>
    <w:rsid w:val="00F2787A"/>
    <w:rsid w:val="00F303D6"/>
    <w:rsid w:val="00F30575"/>
    <w:rsid w:val="00F308DB"/>
    <w:rsid w:val="00F31D29"/>
    <w:rsid w:val="00F32571"/>
    <w:rsid w:val="00F33E83"/>
    <w:rsid w:val="00F3481F"/>
    <w:rsid w:val="00F34B72"/>
    <w:rsid w:val="00F35A65"/>
    <w:rsid w:val="00F35C67"/>
    <w:rsid w:val="00F3669A"/>
    <w:rsid w:val="00F3762B"/>
    <w:rsid w:val="00F37B5A"/>
    <w:rsid w:val="00F4046E"/>
    <w:rsid w:val="00F40471"/>
    <w:rsid w:val="00F4069F"/>
    <w:rsid w:val="00F409B8"/>
    <w:rsid w:val="00F40FF9"/>
    <w:rsid w:val="00F41403"/>
    <w:rsid w:val="00F41487"/>
    <w:rsid w:val="00F41A61"/>
    <w:rsid w:val="00F428E7"/>
    <w:rsid w:val="00F430F8"/>
    <w:rsid w:val="00F43459"/>
    <w:rsid w:val="00F43945"/>
    <w:rsid w:val="00F4531D"/>
    <w:rsid w:val="00F45354"/>
    <w:rsid w:val="00F457E9"/>
    <w:rsid w:val="00F4605D"/>
    <w:rsid w:val="00F46983"/>
    <w:rsid w:val="00F475D7"/>
    <w:rsid w:val="00F47771"/>
    <w:rsid w:val="00F479A2"/>
    <w:rsid w:val="00F504DE"/>
    <w:rsid w:val="00F51223"/>
    <w:rsid w:val="00F51347"/>
    <w:rsid w:val="00F51590"/>
    <w:rsid w:val="00F51ACE"/>
    <w:rsid w:val="00F52AEA"/>
    <w:rsid w:val="00F533B8"/>
    <w:rsid w:val="00F533BF"/>
    <w:rsid w:val="00F5487B"/>
    <w:rsid w:val="00F54C63"/>
    <w:rsid w:val="00F54ED2"/>
    <w:rsid w:val="00F55533"/>
    <w:rsid w:val="00F5571B"/>
    <w:rsid w:val="00F5586F"/>
    <w:rsid w:val="00F55D57"/>
    <w:rsid w:val="00F56201"/>
    <w:rsid w:val="00F5640B"/>
    <w:rsid w:val="00F56A31"/>
    <w:rsid w:val="00F56DF2"/>
    <w:rsid w:val="00F5771D"/>
    <w:rsid w:val="00F57BAB"/>
    <w:rsid w:val="00F60EC5"/>
    <w:rsid w:val="00F611B5"/>
    <w:rsid w:val="00F619B3"/>
    <w:rsid w:val="00F63390"/>
    <w:rsid w:val="00F6362F"/>
    <w:rsid w:val="00F63FFB"/>
    <w:rsid w:val="00F64454"/>
    <w:rsid w:val="00F65008"/>
    <w:rsid w:val="00F66624"/>
    <w:rsid w:val="00F667B3"/>
    <w:rsid w:val="00F672A8"/>
    <w:rsid w:val="00F6795B"/>
    <w:rsid w:val="00F70187"/>
    <w:rsid w:val="00F7033C"/>
    <w:rsid w:val="00F711BB"/>
    <w:rsid w:val="00F71F17"/>
    <w:rsid w:val="00F73373"/>
    <w:rsid w:val="00F7356C"/>
    <w:rsid w:val="00F73D57"/>
    <w:rsid w:val="00F73DB3"/>
    <w:rsid w:val="00F74739"/>
    <w:rsid w:val="00F74BFB"/>
    <w:rsid w:val="00F74F60"/>
    <w:rsid w:val="00F765F4"/>
    <w:rsid w:val="00F77C81"/>
    <w:rsid w:val="00F818EE"/>
    <w:rsid w:val="00F8243A"/>
    <w:rsid w:val="00F83146"/>
    <w:rsid w:val="00F832E1"/>
    <w:rsid w:val="00F83533"/>
    <w:rsid w:val="00F845DB"/>
    <w:rsid w:val="00F8495C"/>
    <w:rsid w:val="00F84A20"/>
    <w:rsid w:val="00F854EB"/>
    <w:rsid w:val="00F85930"/>
    <w:rsid w:val="00F85A13"/>
    <w:rsid w:val="00F85B88"/>
    <w:rsid w:val="00F861CC"/>
    <w:rsid w:val="00F87070"/>
    <w:rsid w:val="00F877EE"/>
    <w:rsid w:val="00F90310"/>
    <w:rsid w:val="00F92126"/>
    <w:rsid w:val="00F92530"/>
    <w:rsid w:val="00F92D24"/>
    <w:rsid w:val="00F93819"/>
    <w:rsid w:val="00F94CF9"/>
    <w:rsid w:val="00F95FD7"/>
    <w:rsid w:val="00F96AFF"/>
    <w:rsid w:val="00F9735F"/>
    <w:rsid w:val="00F9785A"/>
    <w:rsid w:val="00F97B9C"/>
    <w:rsid w:val="00FA0A4E"/>
    <w:rsid w:val="00FA0F44"/>
    <w:rsid w:val="00FA1753"/>
    <w:rsid w:val="00FA19F7"/>
    <w:rsid w:val="00FA1A07"/>
    <w:rsid w:val="00FA1ABD"/>
    <w:rsid w:val="00FA2BD5"/>
    <w:rsid w:val="00FA2D6E"/>
    <w:rsid w:val="00FA401C"/>
    <w:rsid w:val="00FA4029"/>
    <w:rsid w:val="00FA4331"/>
    <w:rsid w:val="00FA45AF"/>
    <w:rsid w:val="00FA4E16"/>
    <w:rsid w:val="00FA527C"/>
    <w:rsid w:val="00FA5442"/>
    <w:rsid w:val="00FA5ACC"/>
    <w:rsid w:val="00FA6AEE"/>
    <w:rsid w:val="00FA7447"/>
    <w:rsid w:val="00FA7B83"/>
    <w:rsid w:val="00FA7B84"/>
    <w:rsid w:val="00FA7BC2"/>
    <w:rsid w:val="00FB02CD"/>
    <w:rsid w:val="00FB043D"/>
    <w:rsid w:val="00FB0457"/>
    <w:rsid w:val="00FB0DE4"/>
    <w:rsid w:val="00FB14CB"/>
    <w:rsid w:val="00FB173D"/>
    <w:rsid w:val="00FB2698"/>
    <w:rsid w:val="00FB38D3"/>
    <w:rsid w:val="00FB3ADB"/>
    <w:rsid w:val="00FB4555"/>
    <w:rsid w:val="00FB4EE7"/>
    <w:rsid w:val="00FB5B99"/>
    <w:rsid w:val="00FB6B11"/>
    <w:rsid w:val="00FB7AE2"/>
    <w:rsid w:val="00FC0381"/>
    <w:rsid w:val="00FC0399"/>
    <w:rsid w:val="00FC0A31"/>
    <w:rsid w:val="00FC0BCC"/>
    <w:rsid w:val="00FC0C80"/>
    <w:rsid w:val="00FC1FEA"/>
    <w:rsid w:val="00FC2407"/>
    <w:rsid w:val="00FC2CD5"/>
    <w:rsid w:val="00FC3847"/>
    <w:rsid w:val="00FC4F88"/>
    <w:rsid w:val="00FC5056"/>
    <w:rsid w:val="00FC5157"/>
    <w:rsid w:val="00FC5DC2"/>
    <w:rsid w:val="00FC6AE9"/>
    <w:rsid w:val="00FC74A9"/>
    <w:rsid w:val="00FC74BC"/>
    <w:rsid w:val="00FC76BC"/>
    <w:rsid w:val="00FD0873"/>
    <w:rsid w:val="00FD0E44"/>
    <w:rsid w:val="00FD1386"/>
    <w:rsid w:val="00FD21C4"/>
    <w:rsid w:val="00FD277E"/>
    <w:rsid w:val="00FD28C1"/>
    <w:rsid w:val="00FD3944"/>
    <w:rsid w:val="00FD3AF6"/>
    <w:rsid w:val="00FD4FE2"/>
    <w:rsid w:val="00FD507D"/>
    <w:rsid w:val="00FD6007"/>
    <w:rsid w:val="00FD60F9"/>
    <w:rsid w:val="00FD6AE8"/>
    <w:rsid w:val="00FD71A2"/>
    <w:rsid w:val="00FD7858"/>
    <w:rsid w:val="00FD7A71"/>
    <w:rsid w:val="00FD7DB4"/>
    <w:rsid w:val="00FD7E7B"/>
    <w:rsid w:val="00FE0C67"/>
    <w:rsid w:val="00FE0E90"/>
    <w:rsid w:val="00FE0FE4"/>
    <w:rsid w:val="00FE347B"/>
    <w:rsid w:val="00FE46F4"/>
    <w:rsid w:val="00FE56A7"/>
    <w:rsid w:val="00FE5BDB"/>
    <w:rsid w:val="00FE5DB1"/>
    <w:rsid w:val="00FE5E28"/>
    <w:rsid w:val="00FE6438"/>
    <w:rsid w:val="00FE6DDF"/>
    <w:rsid w:val="00FE78A3"/>
    <w:rsid w:val="00FE7B63"/>
    <w:rsid w:val="00FF002D"/>
    <w:rsid w:val="00FF0129"/>
    <w:rsid w:val="00FF1097"/>
    <w:rsid w:val="00FF113F"/>
    <w:rsid w:val="00FF14D1"/>
    <w:rsid w:val="00FF156A"/>
    <w:rsid w:val="00FF1BDF"/>
    <w:rsid w:val="00FF21C4"/>
    <w:rsid w:val="00FF2BBD"/>
    <w:rsid w:val="00FF2E4E"/>
    <w:rsid w:val="00FF39D2"/>
    <w:rsid w:val="00FF3C12"/>
    <w:rsid w:val="00FF45EA"/>
    <w:rsid w:val="00FF492A"/>
    <w:rsid w:val="00FF4999"/>
    <w:rsid w:val="00FF50D1"/>
    <w:rsid w:val="00FF5459"/>
    <w:rsid w:val="00FF5708"/>
    <w:rsid w:val="00FF5B0B"/>
    <w:rsid w:val="00FF5E4D"/>
    <w:rsid w:val="00FF661D"/>
    <w:rsid w:val="00FF7B3F"/>
    <w:rsid w:val="00FF7DE8"/>
    <w:rsid w:val="12517F50"/>
    <w:rsid w:val="2A1DFB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4076D3"/>
  <w15:docId w15:val="{5A1FE5F0-499B-4606-859A-C703662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GB" w:eastAsia="en-US" w:bidi="ar-SA"/>
      </w:rPr>
    </w:rPrDefault>
    <w:pPrDefault>
      <w:pPr>
        <w:spacing w:line="271"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2" w:qFormat="1"/>
    <w:lsdException w:name="heading 3" w:semiHidden="1" w:uiPriority="3" w:qFormat="1"/>
    <w:lsdException w:name="heading 4" w:semiHidden="1" w:uiPriority="4"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4042"/>
  </w:style>
  <w:style w:type="paragraph" w:styleId="Heading1">
    <w:name w:val="heading 1"/>
    <w:basedOn w:val="Normal"/>
    <w:next w:val="BodyTextIndent"/>
    <w:link w:val="Heading1Char"/>
    <w:uiPriority w:val="1"/>
    <w:qFormat/>
    <w:rsid w:val="000908DC"/>
    <w:pPr>
      <w:keepNext/>
      <w:keepLines/>
      <w:pageBreakBefore/>
      <w:numPr>
        <w:numId w:val="4"/>
      </w:numPr>
      <w:spacing w:after="240" w:line="420" w:lineRule="exact"/>
      <w:outlineLvl w:val="0"/>
    </w:pPr>
    <w:rPr>
      <w:rFonts w:eastAsiaTheme="majorEastAsia" w:cstheme="majorBidi"/>
      <w:b/>
      <w:bCs/>
      <w:color w:val="3C5896" w:themeColor="accent1"/>
      <w:sz w:val="42"/>
      <w:szCs w:val="28"/>
    </w:rPr>
  </w:style>
  <w:style w:type="paragraph" w:styleId="Heading2">
    <w:name w:val="heading 2"/>
    <w:basedOn w:val="Normal"/>
    <w:next w:val="BodyTextIndent"/>
    <w:link w:val="Heading2Char"/>
    <w:uiPriority w:val="2"/>
    <w:qFormat/>
    <w:rsid w:val="00E82BCC"/>
    <w:pPr>
      <w:keepNext/>
      <w:keepLines/>
      <w:numPr>
        <w:ilvl w:val="1"/>
        <w:numId w:val="4"/>
      </w:numPr>
      <w:spacing w:before="200" w:after="120" w:line="240" w:lineRule="auto"/>
      <w:outlineLvl w:val="1"/>
    </w:pPr>
    <w:rPr>
      <w:rFonts w:eastAsiaTheme="majorEastAsia" w:cstheme="majorBidi"/>
      <w:b/>
      <w:bCs/>
      <w:color w:val="3C5896" w:themeColor="accent1"/>
      <w:sz w:val="30"/>
      <w:szCs w:val="26"/>
    </w:rPr>
  </w:style>
  <w:style w:type="paragraph" w:styleId="Heading3">
    <w:name w:val="heading 3"/>
    <w:basedOn w:val="Normal"/>
    <w:next w:val="BodyTextIndent"/>
    <w:link w:val="Heading3Char"/>
    <w:uiPriority w:val="3"/>
    <w:qFormat/>
    <w:rsid w:val="004825F3"/>
    <w:pPr>
      <w:keepNext/>
      <w:keepLines/>
      <w:numPr>
        <w:ilvl w:val="2"/>
        <w:numId w:val="4"/>
      </w:numPr>
      <w:spacing w:before="200" w:after="120" w:line="240" w:lineRule="auto"/>
      <w:outlineLvl w:val="2"/>
    </w:pPr>
    <w:rPr>
      <w:rFonts w:eastAsiaTheme="majorEastAsia" w:cstheme="majorBidi"/>
      <w:b/>
      <w:bCs/>
      <w:color w:val="3C5896" w:themeColor="accent1"/>
      <w:sz w:val="24"/>
    </w:rPr>
  </w:style>
  <w:style w:type="paragraph" w:styleId="Heading4">
    <w:name w:val="heading 4"/>
    <w:basedOn w:val="Normal"/>
    <w:next w:val="Normal"/>
    <w:link w:val="Heading4Char"/>
    <w:uiPriority w:val="4"/>
    <w:qFormat/>
    <w:rsid w:val="000908DC"/>
    <w:pPr>
      <w:keepNext/>
      <w:keepLines/>
      <w:spacing w:before="200" w:after="60" w:line="240" w:lineRule="auto"/>
      <w:outlineLvl w:val="3"/>
    </w:pPr>
    <w:rPr>
      <w:rFonts w:eastAsiaTheme="majorEastAsia" w:cstheme="majorBidi"/>
      <w:b/>
      <w:bCs/>
      <w:iCs/>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908DC"/>
    <w:rPr>
      <w:rFonts w:eastAsiaTheme="majorEastAsia" w:cstheme="majorBidi"/>
      <w:b/>
      <w:bCs/>
      <w:color w:val="3C5896" w:themeColor="accent1"/>
      <w:sz w:val="42"/>
      <w:szCs w:val="28"/>
    </w:rPr>
  </w:style>
  <w:style w:type="character" w:customStyle="1" w:styleId="Heading2Char">
    <w:name w:val="Heading 2 Char"/>
    <w:basedOn w:val="DefaultParagraphFont"/>
    <w:link w:val="Heading2"/>
    <w:uiPriority w:val="2"/>
    <w:rsid w:val="00E82BCC"/>
    <w:rPr>
      <w:rFonts w:eastAsiaTheme="majorEastAsia" w:cstheme="majorBidi"/>
      <w:b/>
      <w:bCs/>
      <w:color w:val="3C5896" w:themeColor="accent1"/>
      <w:sz w:val="30"/>
      <w:szCs w:val="26"/>
    </w:rPr>
  </w:style>
  <w:style w:type="paragraph" w:customStyle="1" w:styleId="Listalpha">
    <w:name w:val="List alpha"/>
    <w:basedOn w:val="Normal"/>
    <w:uiPriority w:val="8"/>
    <w:qFormat/>
    <w:rsid w:val="004D65DF"/>
    <w:pPr>
      <w:numPr>
        <w:ilvl w:val="4"/>
        <w:numId w:val="4"/>
      </w:numPr>
      <w:spacing w:after="120"/>
    </w:pPr>
  </w:style>
  <w:style w:type="character" w:customStyle="1" w:styleId="Heading3Char">
    <w:name w:val="Heading 3 Char"/>
    <w:basedOn w:val="DefaultParagraphFont"/>
    <w:link w:val="Heading3"/>
    <w:uiPriority w:val="3"/>
    <w:rsid w:val="004825F3"/>
    <w:rPr>
      <w:rFonts w:eastAsiaTheme="majorEastAsia" w:cstheme="majorBidi"/>
      <w:b/>
      <w:bCs/>
      <w:color w:val="3C5896" w:themeColor="accent1"/>
      <w:sz w:val="24"/>
    </w:rPr>
  </w:style>
  <w:style w:type="paragraph" w:styleId="ListNumber">
    <w:name w:val="List Number"/>
    <w:basedOn w:val="Normal"/>
    <w:uiPriority w:val="7"/>
    <w:qFormat/>
    <w:rsid w:val="004D65DF"/>
    <w:pPr>
      <w:numPr>
        <w:ilvl w:val="3"/>
        <w:numId w:val="4"/>
      </w:numPr>
      <w:spacing w:after="120"/>
    </w:pPr>
  </w:style>
  <w:style w:type="paragraph" w:customStyle="1" w:styleId="Listroman">
    <w:name w:val="List roman"/>
    <w:basedOn w:val="Normal"/>
    <w:uiPriority w:val="9"/>
    <w:qFormat/>
    <w:rsid w:val="004D65DF"/>
    <w:pPr>
      <w:numPr>
        <w:ilvl w:val="5"/>
        <w:numId w:val="4"/>
      </w:numPr>
      <w:spacing w:after="120"/>
    </w:pPr>
  </w:style>
  <w:style w:type="paragraph" w:styleId="BodyText">
    <w:name w:val="Body Text"/>
    <w:basedOn w:val="Normal"/>
    <w:link w:val="BodyTextChar"/>
    <w:qFormat/>
    <w:rsid w:val="009E3DCC"/>
    <w:pPr>
      <w:spacing w:after="120"/>
    </w:pPr>
  </w:style>
  <w:style w:type="character" w:customStyle="1" w:styleId="BodyTextChar">
    <w:name w:val="Body Text Char"/>
    <w:basedOn w:val="DefaultParagraphFont"/>
    <w:link w:val="BodyText"/>
    <w:rsid w:val="00340297"/>
  </w:style>
  <w:style w:type="paragraph" w:styleId="ListBullet">
    <w:name w:val="List Bullet"/>
    <w:aliases w:val="Bullet 1"/>
    <w:basedOn w:val="Normal"/>
    <w:uiPriority w:val="8"/>
    <w:qFormat/>
    <w:rsid w:val="00E1505A"/>
    <w:pPr>
      <w:numPr>
        <w:numId w:val="2"/>
      </w:numPr>
      <w:spacing w:after="120"/>
    </w:pPr>
  </w:style>
  <w:style w:type="paragraph" w:styleId="ListBullet2">
    <w:name w:val="List Bullet 2"/>
    <w:aliases w:val="Bullet 2"/>
    <w:basedOn w:val="Normal"/>
    <w:uiPriority w:val="9"/>
    <w:qFormat/>
    <w:rsid w:val="00E1505A"/>
    <w:pPr>
      <w:numPr>
        <w:ilvl w:val="1"/>
        <w:numId w:val="2"/>
      </w:numPr>
      <w:spacing w:after="120"/>
    </w:pPr>
  </w:style>
  <w:style w:type="paragraph" w:styleId="Caption">
    <w:name w:val="caption"/>
    <w:basedOn w:val="Normal"/>
    <w:next w:val="Normal"/>
    <w:uiPriority w:val="12"/>
    <w:qFormat/>
    <w:rsid w:val="00B62EB6"/>
    <w:pPr>
      <w:keepNext/>
      <w:spacing w:before="180" w:after="180" w:line="240" w:lineRule="auto"/>
    </w:pPr>
    <w:rPr>
      <w:b/>
      <w:bCs/>
      <w:szCs w:val="18"/>
    </w:rPr>
  </w:style>
  <w:style w:type="table" w:styleId="TableGrid">
    <w:name w:val="Table Grid"/>
    <w:basedOn w:val="TableNormal"/>
    <w:rsid w:val="009E3D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Ptable">
    <w:name w:val="BOP table"/>
    <w:basedOn w:val="TableNormal"/>
    <w:uiPriority w:val="99"/>
    <w:rsid w:val="00E14B5C"/>
    <w:pPr>
      <w:spacing w:line="240" w:lineRule="auto"/>
    </w:pPr>
    <w:tblPr>
      <w:tblBorders>
        <w:top w:val="single" w:sz="4" w:space="0" w:color="3C5896" w:themeColor="accent1"/>
        <w:insideH w:val="single" w:sz="4" w:space="0" w:color="3C5896" w:themeColor="accent1"/>
      </w:tblBorders>
      <w:tblCellMar>
        <w:top w:w="43" w:type="dxa"/>
        <w:left w:w="0" w:type="dxa"/>
        <w:bottom w:w="43" w:type="dxa"/>
      </w:tblCellMar>
    </w:tblPr>
    <w:tblStylePr w:type="firstRow">
      <w:rPr>
        <w:b/>
        <w:color w:val="3C5896" w:themeColor="accent1"/>
      </w:rPr>
      <w:tblPr/>
      <w:tcPr>
        <w:tcBorders>
          <w:top w:val="nil"/>
          <w:bottom w:val="single" w:sz="12" w:space="0" w:color="3C5896" w:themeColor="accent1"/>
        </w:tcBorders>
      </w:tcPr>
    </w:tblStylePr>
  </w:style>
  <w:style w:type="paragraph" w:styleId="Header">
    <w:name w:val="header"/>
    <w:basedOn w:val="Normal"/>
    <w:link w:val="HeaderChar"/>
    <w:uiPriority w:val="99"/>
    <w:semiHidden/>
    <w:rsid w:val="00A5616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340297"/>
  </w:style>
  <w:style w:type="paragraph" w:styleId="Footer">
    <w:name w:val="footer"/>
    <w:basedOn w:val="Normal"/>
    <w:link w:val="FooterChar"/>
    <w:uiPriority w:val="99"/>
    <w:rsid w:val="00970708"/>
    <w:pPr>
      <w:tabs>
        <w:tab w:val="right" w:pos="14884"/>
      </w:tabs>
      <w:spacing w:line="240" w:lineRule="auto"/>
    </w:pPr>
    <w:rPr>
      <w:color w:val="BFBFBF" w:themeColor="background1" w:themeShade="BF"/>
      <w:sz w:val="22"/>
    </w:rPr>
  </w:style>
  <w:style w:type="character" w:customStyle="1" w:styleId="FooterChar">
    <w:name w:val="Footer Char"/>
    <w:basedOn w:val="DefaultParagraphFont"/>
    <w:link w:val="Footer"/>
    <w:uiPriority w:val="99"/>
    <w:rsid w:val="00970708"/>
    <w:rPr>
      <w:color w:val="BFBFBF" w:themeColor="background1" w:themeShade="BF"/>
      <w:sz w:val="22"/>
    </w:rPr>
  </w:style>
  <w:style w:type="character" w:customStyle="1" w:styleId="Heading4Char">
    <w:name w:val="Heading 4 Char"/>
    <w:basedOn w:val="DefaultParagraphFont"/>
    <w:link w:val="Heading4"/>
    <w:uiPriority w:val="4"/>
    <w:rsid w:val="000908DC"/>
    <w:rPr>
      <w:rFonts w:eastAsiaTheme="majorEastAsia" w:cstheme="majorBidi"/>
      <w:b/>
      <w:bCs/>
      <w:iCs/>
      <w:color w:val="404040"/>
      <w:sz w:val="24"/>
    </w:rPr>
  </w:style>
  <w:style w:type="paragraph" w:styleId="Quote">
    <w:name w:val="Quote"/>
    <w:basedOn w:val="Normal"/>
    <w:next w:val="Normal"/>
    <w:link w:val="QuoteChar"/>
    <w:uiPriority w:val="11"/>
    <w:qFormat/>
    <w:rsid w:val="00920A9B"/>
    <w:pPr>
      <w:tabs>
        <w:tab w:val="left" w:pos="851"/>
      </w:tabs>
      <w:spacing w:before="240" w:after="240"/>
      <w:ind w:left="851" w:right="567" w:hanging="851"/>
    </w:pPr>
    <w:rPr>
      <w:iCs/>
      <w:color w:val="3C5896" w:themeColor="accent1"/>
      <w:sz w:val="24"/>
    </w:rPr>
  </w:style>
  <w:style w:type="character" w:customStyle="1" w:styleId="QuoteChar">
    <w:name w:val="Quote Char"/>
    <w:basedOn w:val="DefaultParagraphFont"/>
    <w:link w:val="Quote"/>
    <w:uiPriority w:val="11"/>
    <w:rsid w:val="00920A9B"/>
    <w:rPr>
      <w:iCs/>
      <w:color w:val="3C5896" w:themeColor="accent1"/>
      <w:sz w:val="24"/>
    </w:rPr>
  </w:style>
  <w:style w:type="paragraph" w:styleId="TOC1">
    <w:name w:val="toc 1"/>
    <w:basedOn w:val="Normal"/>
    <w:next w:val="Normal"/>
    <w:autoRedefine/>
    <w:uiPriority w:val="39"/>
    <w:rsid w:val="00D50A23"/>
    <w:pPr>
      <w:tabs>
        <w:tab w:val="right" w:leader="dot" w:pos="7088"/>
      </w:tabs>
      <w:spacing w:before="120"/>
      <w:ind w:right="510"/>
    </w:pPr>
    <w:rPr>
      <w:b/>
      <w:noProof/>
      <w:color w:val="3C5896" w:themeColor="accent1"/>
      <w:sz w:val="22"/>
    </w:rPr>
  </w:style>
  <w:style w:type="paragraph" w:styleId="TOC3">
    <w:name w:val="toc 3"/>
    <w:basedOn w:val="Normal"/>
    <w:next w:val="Normal"/>
    <w:autoRedefine/>
    <w:uiPriority w:val="39"/>
    <w:rsid w:val="00753C1E"/>
    <w:pPr>
      <w:tabs>
        <w:tab w:val="left" w:pos="851"/>
        <w:tab w:val="right" w:leader="dot" w:pos="7088"/>
      </w:tabs>
      <w:spacing w:before="60"/>
      <w:ind w:right="442"/>
    </w:pPr>
    <w:rPr>
      <w:noProof/>
    </w:rPr>
  </w:style>
  <w:style w:type="paragraph" w:styleId="TOC2">
    <w:name w:val="toc 2"/>
    <w:basedOn w:val="Normal"/>
    <w:next w:val="Normal"/>
    <w:autoRedefine/>
    <w:uiPriority w:val="39"/>
    <w:rsid w:val="009E50D7"/>
    <w:pPr>
      <w:tabs>
        <w:tab w:val="left" w:pos="851"/>
        <w:tab w:val="right" w:leader="dot" w:pos="7088"/>
      </w:tabs>
      <w:spacing w:before="60"/>
    </w:pPr>
    <w:rPr>
      <w:noProof/>
    </w:rPr>
  </w:style>
  <w:style w:type="character" w:styleId="Hyperlink">
    <w:name w:val="Hyperlink"/>
    <w:basedOn w:val="DefaultParagraphFont"/>
    <w:uiPriority w:val="99"/>
    <w:rsid w:val="00A673B1"/>
    <w:rPr>
      <w:color w:val="0000FF" w:themeColor="hyperlink"/>
      <w:u w:val="single"/>
    </w:rPr>
  </w:style>
  <w:style w:type="paragraph" w:styleId="Title">
    <w:name w:val="Title"/>
    <w:basedOn w:val="Normal"/>
    <w:next w:val="Normal"/>
    <w:link w:val="TitleChar"/>
    <w:uiPriority w:val="10"/>
    <w:qFormat/>
    <w:rsid w:val="0032452B"/>
    <w:pPr>
      <w:spacing w:after="280" w:line="240" w:lineRule="auto"/>
    </w:pPr>
    <w:rPr>
      <w:rFonts w:eastAsiaTheme="majorEastAsia" w:cstheme="majorBidi"/>
      <w:b/>
      <w:color w:val="3C5896" w:themeColor="accent1"/>
      <w:spacing w:val="5"/>
      <w:kern w:val="28"/>
      <w:sz w:val="32"/>
      <w:szCs w:val="52"/>
    </w:rPr>
  </w:style>
  <w:style w:type="character" w:customStyle="1" w:styleId="TitleChar">
    <w:name w:val="Title Char"/>
    <w:basedOn w:val="DefaultParagraphFont"/>
    <w:link w:val="Title"/>
    <w:uiPriority w:val="10"/>
    <w:rsid w:val="001253F9"/>
    <w:rPr>
      <w:rFonts w:eastAsiaTheme="majorEastAsia" w:cstheme="majorBidi"/>
      <w:b/>
      <w:color w:val="3C5896" w:themeColor="accent1"/>
      <w:spacing w:val="5"/>
      <w:kern w:val="28"/>
      <w:sz w:val="32"/>
      <w:szCs w:val="52"/>
    </w:rPr>
  </w:style>
  <w:style w:type="paragraph" w:styleId="Subtitle">
    <w:name w:val="Subtitle"/>
    <w:basedOn w:val="Normal"/>
    <w:next w:val="Normal"/>
    <w:link w:val="SubtitleChar"/>
    <w:uiPriority w:val="11"/>
    <w:semiHidden/>
    <w:qFormat/>
    <w:rsid w:val="00397073"/>
    <w:pPr>
      <w:spacing w:before="240" w:after="240" w:line="240" w:lineRule="auto"/>
    </w:pPr>
    <w:rPr>
      <w:sz w:val="24"/>
    </w:rPr>
  </w:style>
  <w:style w:type="character" w:customStyle="1" w:styleId="SubtitleChar">
    <w:name w:val="Subtitle Char"/>
    <w:basedOn w:val="DefaultParagraphFont"/>
    <w:link w:val="Subtitle"/>
    <w:uiPriority w:val="11"/>
    <w:semiHidden/>
    <w:rsid w:val="00397073"/>
    <w:rPr>
      <w:sz w:val="24"/>
    </w:rPr>
  </w:style>
  <w:style w:type="paragraph" w:customStyle="1" w:styleId="Source">
    <w:name w:val="Source"/>
    <w:basedOn w:val="BodyText"/>
    <w:qFormat/>
    <w:rsid w:val="00540089"/>
    <w:pPr>
      <w:spacing w:before="120" w:line="240" w:lineRule="auto"/>
    </w:pPr>
    <w:rPr>
      <w:sz w:val="14"/>
    </w:rPr>
  </w:style>
  <w:style w:type="paragraph" w:customStyle="1" w:styleId="Image">
    <w:name w:val="Image"/>
    <w:basedOn w:val="Normal"/>
    <w:qFormat/>
    <w:rsid w:val="00540089"/>
    <w:pPr>
      <w:keepNext/>
      <w:spacing w:line="240" w:lineRule="auto"/>
    </w:pPr>
  </w:style>
  <w:style w:type="paragraph" w:styleId="ListNumber2">
    <w:name w:val="List Number 2"/>
    <w:basedOn w:val="Normal"/>
    <w:uiPriority w:val="11"/>
    <w:semiHidden/>
    <w:qFormat/>
    <w:rsid w:val="00340297"/>
    <w:pPr>
      <w:numPr>
        <w:numId w:val="1"/>
      </w:numPr>
      <w:contextualSpacing/>
    </w:pPr>
  </w:style>
  <w:style w:type="paragraph" w:styleId="TableofFigures">
    <w:name w:val="table of figures"/>
    <w:basedOn w:val="Normal"/>
    <w:next w:val="Normal"/>
    <w:uiPriority w:val="99"/>
    <w:rsid w:val="005D6C3B"/>
    <w:pPr>
      <w:spacing w:after="60"/>
    </w:pPr>
  </w:style>
  <w:style w:type="paragraph" w:customStyle="1" w:styleId="Headingnonumber">
    <w:name w:val="Heading no number"/>
    <w:basedOn w:val="Heading1"/>
    <w:next w:val="BodyText"/>
    <w:uiPriority w:val="1"/>
    <w:qFormat/>
    <w:rsid w:val="003961BB"/>
    <w:pPr>
      <w:numPr>
        <w:numId w:val="0"/>
      </w:numPr>
    </w:pPr>
  </w:style>
  <w:style w:type="paragraph" w:customStyle="1" w:styleId="Subheadingnonumber">
    <w:name w:val="Subheading no number"/>
    <w:basedOn w:val="BodyText"/>
    <w:uiPriority w:val="1"/>
    <w:qFormat/>
    <w:rsid w:val="00826DF1"/>
    <w:pPr>
      <w:spacing w:before="240" w:after="0"/>
    </w:pPr>
    <w:rPr>
      <w:b/>
      <w:color w:val="3C5896" w:themeColor="accent1"/>
      <w:sz w:val="24"/>
    </w:rPr>
  </w:style>
  <w:style w:type="paragraph" w:customStyle="1" w:styleId="Whitetext">
    <w:name w:val="White text"/>
    <w:basedOn w:val="BodyText"/>
    <w:uiPriority w:val="1"/>
    <w:semiHidden/>
    <w:qFormat/>
    <w:rsid w:val="00415D87"/>
    <w:pPr>
      <w:framePr w:wrap="around" w:vAnchor="page" w:hAnchor="page" w:yAlign="bottom"/>
      <w:spacing w:after="0"/>
      <w:suppressOverlap/>
    </w:pPr>
    <w:rPr>
      <w:color w:val="FFFFFF" w:themeColor="background1"/>
    </w:rPr>
  </w:style>
  <w:style w:type="paragraph" w:styleId="BodyTextIndent">
    <w:name w:val="Body Text Indent"/>
    <w:basedOn w:val="Normal"/>
    <w:next w:val="BodyText"/>
    <w:link w:val="BodyTextIndentChar"/>
    <w:qFormat/>
    <w:rsid w:val="00A002FB"/>
    <w:pPr>
      <w:spacing w:after="120"/>
      <w:ind w:firstLine="284"/>
    </w:pPr>
  </w:style>
  <w:style w:type="paragraph" w:styleId="NoSpacing">
    <w:name w:val="No Spacing"/>
    <w:uiPriority w:val="1"/>
    <w:semiHidden/>
    <w:qFormat/>
    <w:rsid w:val="00A94284"/>
    <w:pPr>
      <w:spacing w:line="240" w:lineRule="auto"/>
    </w:pPr>
  </w:style>
  <w:style w:type="character" w:customStyle="1" w:styleId="BodyTextIndentChar">
    <w:name w:val="Body Text Indent Char"/>
    <w:basedOn w:val="DefaultParagraphFont"/>
    <w:link w:val="BodyTextIndent"/>
    <w:rsid w:val="00A002FB"/>
  </w:style>
  <w:style w:type="paragraph" w:styleId="FootnoteText">
    <w:name w:val="footnote text"/>
    <w:basedOn w:val="Normal"/>
    <w:link w:val="FootnoteTextChar"/>
    <w:uiPriority w:val="99"/>
    <w:semiHidden/>
    <w:rsid w:val="006B3398"/>
    <w:pPr>
      <w:spacing w:before="60" w:line="240" w:lineRule="auto"/>
    </w:pPr>
    <w:rPr>
      <w:sz w:val="14"/>
    </w:rPr>
  </w:style>
  <w:style w:type="character" w:customStyle="1" w:styleId="FootnoteTextChar">
    <w:name w:val="Footnote Text Char"/>
    <w:basedOn w:val="DefaultParagraphFont"/>
    <w:link w:val="FootnoteText"/>
    <w:uiPriority w:val="99"/>
    <w:semiHidden/>
    <w:rsid w:val="006B3398"/>
    <w:rPr>
      <w:sz w:val="14"/>
    </w:rPr>
  </w:style>
  <w:style w:type="character" w:styleId="FootnoteReference">
    <w:name w:val="footnote reference"/>
    <w:basedOn w:val="DefaultParagraphFont"/>
    <w:uiPriority w:val="99"/>
    <w:semiHidden/>
    <w:rsid w:val="00B62EB6"/>
    <w:rPr>
      <w:vertAlign w:val="superscript"/>
    </w:rPr>
  </w:style>
  <w:style w:type="paragraph" w:styleId="BalloonText">
    <w:name w:val="Balloon Text"/>
    <w:basedOn w:val="Normal"/>
    <w:link w:val="BalloonTextChar"/>
    <w:uiPriority w:val="99"/>
    <w:semiHidden/>
    <w:unhideWhenUsed/>
    <w:rsid w:val="00392DF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DF2"/>
    <w:rPr>
      <w:rFonts w:ascii="Segoe UI" w:hAnsi="Segoe UI" w:cs="Segoe UI"/>
      <w:sz w:val="18"/>
      <w:szCs w:val="18"/>
    </w:rPr>
  </w:style>
  <w:style w:type="character" w:styleId="CommentReference">
    <w:name w:val="annotation reference"/>
    <w:basedOn w:val="DefaultParagraphFont"/>
    <w:uiPriority w:val="99"/>
    <w:semiHidden/>
    <w:unhideWhenUsed/>
    <w:rsid w:val="001A6109"/>
    <w:rPr>
      <w:sz w:val="16"/>
      <w:szCs w:val="16"/>
    </w:rPr>
  </w:style>
  <w:style w:type="paragraph" w:styleId="CommentText">
    <w:name w:val="annotation text"/>
    <w:basedOn w:val="Normal"/>
    <w:link w:val="CommentTextChar"/>
    <w:uiPriority w:val="99"/>
    <w:semiHidden/>
    <w:unhideWhenUsed/>
    <w:rsid w:val="001A6109"/>
    <w:pPr>
      <w:spacing w:line="240" w:lineRule="auto"/>
    </w:pPr>
  </w:style>
  <w:style w:type="character" w:customStyle="1" w:styleId="CommentTextChar">
    <w:name w:val="Comment Text Char"/>
    <w:basedOn w:val="DefaultParagraphFont"/>
    <w:link w:val="CommentText"/>
    <w:uiPriority w:val="99"/>
    <w:semiHidden/>
    <w:rsid w:val="001A6109"/>
  </w:style>
  <w:style w:type="paragraph" w:styleId="CommentSubject">
    <w:name w:val="annotation subject"/>
    <w:basedOn w:val="CommentText"/>
    <w:next w:val="CommentText"/>
    <w:link w:val="CommentSubjectChar"/>
    <w:uiPriority w:val="99"/>
    <w:semiHidden/>
    <w:unhideWhenUsed/>
    <w:rsid w:val="001A6109"/>
    <w:rPr>
      <w:b/>
      <w:bCs/>
    </w:rPr>
  </w:style>
  <w:style w:type="character" w:customStyle="1" w:styleId="CommentSubjectChar">
    <w:name w:val="Comment Subject Char"/>
    <w:basedOn w:val="CommentTextChar"/>
    <w:link w:val="CommentSubject"/>
    <w:uiPriority w:val="99"/>
    <w:semiHidden/>
    <w:rsid w:val="001A6109"/>
    <w:rPr>
      <w:b/>
      <w:bCs/>
    </w:rPr>
  </w:style>
  <w:style w:type="paragraph" w:styleId="ListParagraph">
    <w:name w:val="List Paragraph"/>
    <w:basedOn w:val="Normal"/>
    <w:uiPriority w:val="34"/>
    <w:qFormat/>
    <w:rsid w:val="00025774"/>
    <w:pPr>
      <w:ind w:left="720"/>
      <w:contextualSpacing/>
    </w:pPr>
  </w:style>
  <w:style w:type="character" w:styleId="Strong">
    <w:name w:val="Strong"/>
    <w:basedOn w:val="DefaultParagraphFont"/>
    <w:uiPriority w:val="22"/>
    <w:qFormat/>
    <w:rsid w:val="001268CA"/>
    <w:rPr>
      <w:b/>
      <w:bCs/>
    </w:rPr>
  </w:style>
  <w:style w:type="paragraph" w:styleId="NormalWeb">
    <w:name w:val="Normal (Web)"/>
    <w:basedOn w:val="Normal"/>
    <w:uiPriority w:val="99"/>
    <w:unhideWhenUsed/>
    <w:rsid w:val="004939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A7B84"/>
    <w:rPr>
      <w:color w:val="808080"/>
      <w:shd w:val="clear" w:color="auto" w:fill="E6E6E6"/>
    </w:rPr>
  </w:style>
  <w:style w:type="paragraph" w:customStyle="1" w:styleId="Quotesmall">
    <w:name w:val="Quote small"/>
    <w:basedOn w:val="Quote"/>
    <w:uiPriority w:val="11"/>
    <w:qFormat/>
    <w:rsid w:val="009B19D0"/>
    <w:pPr>
      <w:tabs>
        <w:tab w:val="clear" w:pos="851"/>
        <w:tab w:val="left" w:pos="142"/>
        <w:tab w:val="left" w:pos="540"/>
      </w:tabs>
      <w:ind w:left="540" w:hanging="540"/>
    </w:pPr>
    <w:rPr>
      <w:sz w:val="21"/>
    </w:rPr>
  </w:style>
  <w:style w:type="numbering" w:customStyle="1" w:styleId="IFFBullets">
    <w:name w:val="IFF Bullets"/>
    <w:uiPriority w:val="99"/>
    <w:rsid w:val="00751CEA"/>
    <w:pPr>
      <w:numPr>
        <w:numId w:val="3"/>
      </w:numPr>
    </w:pPr>
  </w:style>
  <w:style w:type="paragraph" w:customStyle="1" w:styleId="Default">
    <w:name w:val="Default"/>
    <w:rsid w:val="00DF3C7F"/>
    <w:pPr>
      <w:autoSpaceDE w:val="0"/>
      <w:autoSpaceDN w:val="0"/>
      <w:adjustRightInd w:val="0"/>
      <w:spacing w:line="240" w:lineRule="auto"/>
    </w:pPr>
    <w:rPr>
      <w:rFonts w:cs="Arial"/>
      <w:color w:val="000000"/>
      <w:sz w:val="24"/>
      <w:szCs w:val="24"/>
    </w:rPr>
  </w:style>
  <w:style w:type="paragraph" w:styleId="Revision">
    <w:name w:val="Revision"/>
    <w:hidden/>
    <w:uiPriority w:val="99"/>
    <w:semiHidden/>
    <w:rsid w:val="00B270BA"/>
    <w:pPr>
      <w:spacing w:line="240" w:lineRule="auto"/>
    </w:pPr>
  </w:style>
  <w:style w:type="character" w:customStyle="1" w:styleId="c-timestamplabel">
    <w:name w:val="c-timestamp__label"/>
    <w:basedOn w:val="DefaultParagraphFont"/>
    <w:rsid w:val="00C92CE7"/>
  </w:style>
  <w:style w:type="character" w:styleId="FollowedHyperlink">
    <w:name w:val="FollowedHyperlink"/>
    <w:basedOn w:val="DefaultParagraphFont"/>
    <w:uiPriority w:val="99"/>
    <w:semiHidden/>
    <w:unhideWhenUsed/>
    <w:rsid w:val="00A5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597">
      <w:bodyDiv w:val="1"/>
      <w:marLeft w:val="0"/>
      <w:marRight w:val="0"/>
      <w:marTop w:val="0"/>
      <w:marBottom w:val="0"/>
      <w:divBdr>
        <w:top w:val="none" w:sz="0" w:space="0" w:color="auto"/>
        <w:left w:val="none" w:sz="0" w:space="0" w:color="auto"/>
        <w:bottom w:val="none" w:sz="0" w:space="0" w:color="auto"/>
        <w:right w:val="none" w:sz="0" w:space="0" w:color="auto"/>
      </w:divBdr>
    </w:div>
    <w:div w:id="61492898">
      <w:bodyDiv w:val="1"/>
      <w:marLeft w:val="0"/>
      <w:marRight w:val="0"/>
      <w:marTop w:val="0"/>
      <w:marBottom w:val="0"/>
      <w:divBdr>
        <w:top w:val="none" w:sz="0" w:space="0" w:color="auto"/>
        <w:left w:val="none" w:sz="0" w:space="0" w:color="auto"/>
        <w:bottom w:val="none" w:sz="0" w:space="0" w:color="auto"/>
        <w:right w:val="none" w:sz="0" w:space="0" w:color="auto"/>
      </w:divBdr>
    </w:div>
    <w:div w:id="103841483">
      <w:bodyDiv w:val="1"/>
      <w:marLeft w:val="0"/>
      <w:marRight w:val="0"/>
      <w:marTop w:val="0"/>
      <w:marBottom w:val="0"/>
      <w:divBdr>
        <w:top w:val="none" w:sz="0" w:space="0" w:color="auto"/>
        <w:left w:val="none" w:sz="0" w:space="0" w:color="auto"/>
        <w:bottom w:val="none" w:sz="0" w:space="0" w:color="auto"/>
        <w:right w:val="none" w:sz="0" w:space="0" w:color="auto"/>
      </w:divBdr>
      <w:divsChild>
        <w:div w:id="386269443">
          <w:marLeft w:val="720"/>
          <w:marRight w:val="0"/>
          <w:marTop w:val="120"/>
          <w:marBottom w:val="120"/>
          <w:divBdr>
            <w:top w:val="none" w:sz="0" w:space="0" w:color="auto"/>
            <w:left w:val="none" w:sz="0" w:space="0" w:color="auto"/>
            <w:bottom w:val="none" w:sz="0" w:space="0" w:color="auto"/>
            <w:right w:val="none" w:sz="0" w:space="0" w:color="auto"/>
          </w:divBdr>
        </w:div>
        <w:div w:id="463233498">
          <w:marLeft w:val="720"/>
          <w:marRight w:val="0"/>
          <w:marTop w:val="120"/>
          <w:marBottom w:val="120"/>
          <w:divBdr>
            <w:top w:val="none" w:sz="0" w:space="0" w:color="auto"/>
            <w:left w:val="none" w:sz="0" w:space="0" w:color="auto"/>
            <w:bottom w:val="none" w:sz="0" w:space="0" w:color="auto"/>
            <w:right w:val="none" w:sz="0" w:space="0" w:color="auto"/>
          </w:divBdr>
        </w:div>
        <w:div w:id="1001810813">
          <w:marLeft w:val="720"/>
          <w:marRight w:val="0"/>
          <w:marTop w:val="120"/>
          <w:marBottom w:val="120"/>
          <w:divBdr>
            <w:top w:val="none" w:sz="0" w:space="0" w:color="auto"/>
            <w:left w:val="none" w:sz="0" w:space="0" w:color="auto"/>
            <w:bottom w:val="none" w:sz="0" w:space="0" w:color="auto"/>
            <w:right w:val="none" w:sz="0" w:space="0" w:color="auto"/>
          </w:divBdr>
        </w:div>
        <w:div w:id="1217081628">
          <w:marLeft w:val="720"/>
          <w:marRight w:val="0"/>
          <w:marTop w:val="120"/>
          <w:marBottom w:val="120"/>
          <w:divBdr>
            <w:top w:val="none" w:sz="0" w:space="0" w:color="auto"/>
            <w:left w:val="none" w:sz="0" w:space="0" w:color="auto"/>
            <w:bottom w:val="none" w:sz="0" w:space="0" w:color="auto"/>
            <w:right w:val="none" w:sz="0" w:space="0" w:color="auto"/>
          </w:divBdr>
        </w:div>
        <w:div w:id="1520120116">
          <w:marLeft w:val="720"/>
          <w:marRight w:val="0"/>
          <w:marTop w:val="120"/>
          <w:marBottom w:val="120"/>
          <w:divBdr>
            <w:top w:val="none" w:sz="0" w:space="0" w:color="auto"/>
            <w:left w:val="none" w:sz="0" w:space="0" w:color="auto"/>
            <w:bottom w:val="none" w:sz="0" w:space="0" w:color="auto"/>
            <w:right w:val="none" w:sz="0" w:space="0" w:color="auto"/>
          </w:divBdr>
        </w:div>
        <w:div w:id="1539472154">
          <w:marLeft w:val="720"/>
          <w:marRight w:val="0"/>
          <w:marTop w:val="120"/>
          <w:marBottom w:val="120"/>
          <w:divBdr>
            <w:top w:val="none" w:sz="0" w:space="0" w:color="auto"/>
            <w:left w:val="none" w:sz="0" w:space="0" w:color="auto"/>
            <w:bottom w:val="none" w:sz="0" w:space="0" w:color="auto"/>
            <w:right w:val="none" w:sz="0" w:space="0" w:color="auto"/>
          </w:divBdr>
        </w:div>
        <w:div w:id="1552687634">
          <w:marLeft w:val="720"/>
          <w:marRight w:val="0"/>
          <w:marTop w:val="120"/>
          <w:marBottom w:val="120"/>
          <w:divBdr>
            <w:top w:val="none" w:sz="0" w:space="0" w:color="auto"/>
            <w:left w:val="none" w:sz="0" w:space="0" w:color="auto"/>
            <w:bottom w:val="none" w:sz="0" w:space="0" w:color="auto"/>
            <w:right w:val="none" w:sz="0" w:space="0" w:color="auto"/>
          </w:divBdr>
        </w:div>
        <w:div w:id="1726218313">
          <w:marLeft w:val="720"/>
          <w:marRight w:val="0"/>
          <w:marTop w:val="120"/>
          <w:marBottom w:val="120"/>
          <w:divBdr>
            <w:top w:val="none" w:sz="0" w:space="0" w:color="auto"/>
            <w:left w:val="none" w:sz="0" w:space="0" w:color="auto"/>
            <w:bottom w:val="none" w:sz="0" w:space="0" w:color="auto"/>
            <w:right w:val="none" w:sz="0" w:space="0" w:color="auto"/>
          </w:divBdr>
        </w:div>
        <w:div w:id="2030177144">
          <w:marLeft w:val="720"/>
          <w:marRight w:val="0"/>
          <w:marTop w:val="120"/>
          <w:marBottom w:val="120"/>
          <w:divBdr>
            <w:top w:val="none" w:sz="0" w:space="0" w:color="auto"/>
            <w:left w:val="none" w:sz="0" w:space="0" w:color="auto"/>
            <w:bottom w:val="none" w:sz="0" w:space="0" w:color="auto"/>
            <w:right w:val="none" w:sz="0" w:space="0" w:color="auto"/>
          </w:divBdr>
        </w:div>
        <w:div w:id="2108691296">
          <w:marLeft w:val="720"/>
          <w:marRight w:val="0"/>
          <w:marTop w:val="120"/>
          <w:marBottom w:val="120"/>
          <w:divBdr>
            <w:top w:val="none" w:sz="0" w:space="0" w:color="auto"/>
            <w:left w:val="none" w:sz="0" w:space="0" w:color="auto"/>
            <w:bottom w:val="none" w:sz="0" w:space="0" w:color="auto"/>
            <w:right w:val="none" w:sz="0" w:space="0" w:color="auto"/>
          </w:divBdr>
        </w:div>
      </w:divsChild>
    </w:div>
    <w:div w:id="181550246">
      <w:bodyDiv w:val="1"/>
      <w:marLeft w:val="0"/>
      <w:marRight w:val="0"/>
      <w:marTop w:val="0"/>
      <w:marBottom w:val="0"/>
      <w:divBdr>
        <w:top w:val="none" w:sz="0" w:space="0" w:color="auto"/>
        <w:left w:val="none" w:sz="0" w:space="0" w:color="auto"/>
        <w:bottom w:val="none" w:sz="0" w:space="0" w:color="auto"/>
        <w:right w:val="none" w:sz="0" w:space="0" w:color="auto"/>
      </w:divBdr>
    </w:div>
    <w:div w:id="204803739">
      <w:bodyDiv w:val="1"/>
      <w:marLeft w:val="0"/>
      <w:marRight w:val="0"/>
      <w:marTop w:val="0"/>
      <w:marBottom w:val="0"/>
      <w:divBdr>
        <w:top w:val="none" w:sz="0" w:space="0" w:color="auto"/>
        <w:left w:val="none" w:sz="0" w:space="0" w:color="auto"/>
        <w:bottom w:val="none" w:sz="0" w:space="0" w:color="auto"/>
        <w:right w:val="none" w:sz="0" w:space="0" w:color="auto"/>
      </w:divBdr>
    </w:div>
    <w:div w:id="214195917">
      <w:bodyDiv w:val="1"/>
      <w:marLeft w:val="0"/>
      <w:marRight w:val="0"/>
      <w:marTop w:val="0"/>
      <w:marBottom w:val="0"/>
      <w:divBdr>
        <w:top w:val="none" w:sz="0" w:space="0" w:color="auto"/>
        <w:left w:val="none" w:sz="0" w:space="0" w:color="auto"/>
        <w:bottom w:val="none" w:sz="0" w:space="0" w:color="auto"/>
        <w:right w:val="none" w:sz="0" w:space="0" w:color="auto"/>
      </w:divBdr>
    </w:div>
    <w:div w:id="262035271">
      <w:bodyDiv w:val="1"/>
      <w:marLeft w:val="0"/>
      <w:marRight w:val="0"/>
      <w:marTop w:val="0"/>
      <w:marBottom w:val="0"/>
      <w:divBdr>
        <w:top w:val="none" w:sz="0" w:space="0" w:color="auto"/>
        <w:left w:val="none" w:sz="0" w:space="0" w:color="auto"/>
        <w:bottom w:val="none" w:sz="0" w:space="0" w:color="auto"/>
        <w:right w:val="none" w:sz="0" w:space="0" w:color="auto"/>
      </w:divBdr>
    </w:div>
    <w:div w:id="272858824">
      <w:bodyDiv w:val="1"/>
      <w:marLeft w:val="0"/>
      <w:marRight w:val="0"/>
      <w:marTop w:val="0"/>
      <w:marBottom w:val="0"/>
      <w:divBdr>
        <w:top w:val="none" w:sz="0" w:space="0" w:color="auto"/>
        <w:left w:val="none" w:sz="0" w:space="0" w:color="auto"/>
        <w:bottom w:val="none" w:sz="0" w:space="0" w:color="auto"/>
        <w:right w:val="none" w:sz="0" w:space="0" w:color="auto"/>
      </w:divBdr>
      <w:divsChild>
        <w:div w:id="543491389">
          <w:marLeft w:val="547"/>
          <w:marRight w:val="0"/>
          <w:marTop w:val="240"/>
          <w:marBottom w:val="0"/>
          <w:divBdr>
            <w:top w:val="none" w:sz="0" w:space="0" w:color="auto"/>
            <w:left w:val="none" w:sz="0" w:space="0" w:color="auto"/>
            <w:bottom w:val="none" w:sz="0" w:space="0" w:color="auto"/>
            <w:right w:val="none" w:sz="0" w:space="0" w:color="auto"/>
          </w:divBdr>
        </w:div>
        <w:div w:id="916742079">
          <w:marLeft w:val="1166"/>
          <w:marRight w:val="0"/>
          <w:marTop w:val="0"/>
          <w:marBottom w:val="0"/>
          <w:divBdr>
            <w:top w:val="none" w:sz="0" w:space="0" w:color="auto"/>
            <w:left w:val="none" w:sz="0" w:space="0" w:color="auto"/>
            <w:bottom w:val="none" w:sz="0" w:space="0" w:color="auto"/>
            <w:right w:val="none" w:sz="0" w:space="0" w:color="auto"/>
          </w:divBdr>
        </w:div>
        <w:div w:id="1113941838">
          <w:marLeft w:val="1166"/>
          <w:marRight w:val="0"/>
          <w:marTop w:val="0"/>
          <w:marBottom w:val="0"/>
          <w:divBdr>
            <w:top w:val="none" w:sz="0" w:space="0" w:color="auto"/>
            <w:left w:val="none" w:sz="0" w:space="0" w:color="auto"/>
            <w:bottom w:val="none" w:sz="0" w:space="0" w:color="auto"/>
            <w:right w:val="none" w:sz="0" w:space="0" w:color="auto"/>
          </w:divBdr>
        </w:div>
        <w:div w:id="1119253354">
          <w:marLeft w:val="1166"/>
          <w:marRight w:val="0"/>
          <w:marTop w:val="0"/>
          <w:marBottom w:val="0"/>
          <w:divBdr>
            <w:top w:val="none" w:sz="0" w:space="0" w:color="auto"/>
            <w:left w:val="none" w:sz="0" w:space="0" w:color="auto"/>
            <w:bottom w:val="none" w:sz="0" w:space="0" w:color="auto"/>
            <w:right w:val="none" w:sz="0" w:space="0" w:color="auto"/>
          </w:divBdr>
        </w:div>
        <w:div w:id="1173758714">
          <w:marLeft w:val="547"/>
          <w:marRight w:val="0"/>
          <w:marTop w:val="240"/>
          <w:marBottom w:val="0"/>
          <w:divBdr>
            <w:top w:val="none" w:sz="0" w:space="0" w:color="auto"/>
            <w:left w:val="none" w:sz="0" w:space="0" w:color="auto"/>
            <w:bottom w:val="none" w:sz="0" w:space="0" w:color="auto"/>
            <w:right w:val="none" w:sz="0" w:space="0" w:color="auto"/>
          </w:divBdr>
        </w:div>
        <w:div w:id="1181777195">
          <w:marLeft w:val="1166"/>
          <w:marRight w:val="0"/>
          <w:marTop w:val="0"/>
          <w:marBottom w:val="0"/>
          <w:divBdr>
            <w:top w:val="none" w:sz="0" w:space="0" w:color="auto"/>
            <w:left w:val="none" w:sz="0" w:space="0" w:color="auto"/>
            <w:bottom w:val="none" w:sz="0" w:space="0" w:color="auto"/>
            <w:right w:val="none" w:sz="0" w:space="0" w:color="auto"/>
          </w:divBdr>
        </w:div>
        <w:div w:id="1254364709">
          <w:marLeft w:val="1166"/>
          <w:marRight w:val="0"/>
          <w:marTop w:val="240"/>
          <w:marBottom w:val="0"/>
          <w:divBdr>
            <w:top w:val="none" w:sz="0" w:space="0" w:color="auto"/>
            <w:left w:val="none" w:sz="0" w:space="0" w:color="auto"/>
            <w:bottom w:val="none" w:sz="0" w:space="0" w:color="auto"/>
            <w:right w:val="none" w:sz="0" w:space="0" w:color="auto"/>
          </w:divBdr>
        </w:div>
        <w:div w:id="1301611010">
          <w:marLeft w:val="547"/>
          <w:marRight w:val="0"/>
          <w:marTop w:val="240"/>
          <w:marBottom w:val="0"/>
          <w:divBdr>
            <w:top w:val="none" w:sz="0" w:space="0" w:color="auto"/>
            <w:left w:val="none" w:sz="0" w:space="0" w:color="auto"/>
            <w:bottom w:val="none" w:sz="0" w:space="0" w:color="auto"/>
            <w:right w:val="none" w:sz="0" w:space="0" w:color="auto"/>
          </w:divBdr>
        </w:div>
        <w:div w:id="1302424093">
          <w:marLeft w:val="1166"/>
          <w:marRight w:val="0"/>
          <w:marTop w:val="0"/>
          <w:marBottom w:val="0"/>
          <w:divBdr>
            <w:top w:val="none" w:sz="0" w:space="0" w:color="auto"/>
            <w:left w:val="none" w:sz="0" w:space="0" w:color="auto"/>
            <w:bottom w:val="none" w:sz="0" w:space="0" w:color="auto"/>
            <w:right w:val="none" w:sz="0" w:space="0" w:color="auto"/>
          </w:divBdr>
        </w:div>
        <w:div w:id="1358236640">
          <w:marLeft w:val="547"/>
          <w:marRight w:val="0"/>
          <w:marTop w:val="240"/>
          <w:marBottom w:val="0"/>
          <w:divBdr>
            <w:top w:val="none" w:sz="0" w:space="0" w:color="auto"/>
            <w:left w:val="none" w:sz="0" w:space="0" w:color="auto"/>
            <w:bottom w:val="none" w:sz="0" w:space="0" w:color="auto"/>
            <w:right w:val="none" w:sz="0" w:space="0" w:color="auto"/>
          </w:divBdr>
        </w:div>
        <w:div w:id="1704405657">
          <w:marLeft w:val="1166"/>
          <w:marRight w:val="0"/>
          <w:marTop w:val="240"/>
          <w:marBottom w:val="0"/>
          <w:divBdr>
            <w:top w:val="none" w:sz="0" w:space="0" w:color="auto"/>
            <w:left w:val="none" w:sz="0" w:space="0" w:color="auto"/>
            <w:bottom w:val="none" w:sz="0" w:space="0" w:color="auto"/>
            <w:right w:val="none" w:sz="0" w:space="0" w:color="auto"/>
          </w:divBdr>
        </w:div>
      </w:divsChild>
    </w:div>
    <w:div w:id="314335809">
      <w:bodyDiv w:val="1"/>
      <w:marLeft w:val="0"/>
      <w:marRight w:val="0"/>
      <w:marTop w:val="0"/>
      <w:marBottom w:val="0"/>
      <w:divBdr>
        <w:top w:val="none" w:sz="0" w:space="0" w:color="auto"/>
        <w:left w:val="none" w:sz="0" w:space="0" w:color="auto"/>
        <w:bottom w:val="none" w:sz="0" w:space="0" w:color="auto"/>
        <w:right w:val="none" w:sz="0" w:space="0" w:color="auto"/>
      </w:divBdr>
      <w:divsChild>
        <w:div w:id="525951783">
          <w:marLeft w:val="360"/>
          <w:marRight w:val="0"/>
          <w:marTop w:val="240"/>
          <w:marBottom w:val="0"/>
          <w:divBdr>
            <w:top w:val="none" w:sz="0" w:space="0" w:color="auto"/>
            <w:left w:val="none" w:sz="0" w:space="0" w:color="auto"/>
            <w:bottom w:val="none" w:sz="0" w:space="0" w:color="auto"/>
            <w:right w:val="none" w:sz="0" w:space="0" w:color="auto"/>
          </w:divBdr>
        </w:div>
        <w:div w:id="1652365421">
          <w:marLeft w:val="360"/>
          <w:marRight w:val="0"/>
          <w:marTop w:val="240"/>
          <w:marBottom w:val="0"/>
          <w:divBdr>
            <w:top w:val="none" w:sz="0" w:space="0" w:color="auto"/>
            <w:left w:val="none" w:sz="0" w:space="0" w:color="auto"/>
            <w:bottom w:val="none" w:sz="0" w:space="0" w:color="auto"/>
            <w:right w:val="none" w:sz="0" w:space="0" w:color="auto"/>
          </w:divBdr>
        </w:div>
        <w:div w:id="1966884709">
          <w:marLeft w:val="360"/>
          <w:marRight w:val="0"/>
          <w:marTop w:val="240"/>
          <w:marBottom w:val="0"/>
          <w:divBdr>
            <w:top w:val="none" w:sz="0" w:space="0" w:color="auto"/>
            <w:left w:val="none" w:sz="0" w:space="0" w:color="auto"/>
            <w:bottom w:val="none" w:sz="0" w:space="0" w:color="auto"/>
            <w:right w:val="none" w:sz="0" w:space="0" w:color="auto"/>
          </w:divBdr>
        </w:div>
      </w:divsChild>
    </w:div>
    <w:div w:id="329214102">
      <w:bodyDiv w:val="1"/>
      <w:marLeft w:val="0"/>
      <w:marRight w:val="0"/>
      <w:marTop w:val="0"/>
      <w:marBottom w:val="0"/>
      <w:divBdr>
        <w:top w:val="none" w:sz="0" w:space="0" w:color="auto"/>
        <w:left w:val="none" w:sz="0" w:space="0" w:color="auto"/>
        <w:bottom w:val="none" w:sz="0" w:space="0" w:color="auto"/>
        <w:right w:val="none" w:sz="0" w:space="0" w:color="auto"/>
      </w:divBdr>
    </w:div>
    <w:div w:id="352196587">
      <w:bodyDiv w:val="1"/>
      <w:marLeft w:val="0"/>
      <w:marRight w:val="0"/>
      <w:marTop w:val="0"/>
      <w:marBottom w:val="0"/>
      <w:divBdr>
        <w:top w:val="none" w:sz="0" w:space="0" w:color="auto"/>
        <w:left w:val="none" w:sz="0" w:space="0" w:color="auto"/>
        <w:bottom w:val="none" w:sz="0" w:space="0" w:color="auto"/>
        <w:right w:val="none" w:sz="0" w:space="0" w:color="auto"/>
      </w:divBdr>
      <w:divsChild>
        <w:div w:id="39324129">
          <w:marLeft w:val="0"/>
          <w:marRight w:val="0"/>
          <w:marTop w:val="0"/>
          <w:marBottom w:val="0"/>
          <w:divBdr>
            <w:top w:val="none" w:sz="0" w:space="0" w:color="auto"/>
            <w:left w:val="none" w:sz="0" w:space="0" w:color="auto"/>
            <w:bottom w:val="none" w:sz="0" w:space="0" w:color="auto"/>
            <w:right w:val="none" w:sz="0" w:space="0" w:color="auto"/>
          </w:divBdr>
        </w:div>
        <w:div w:id="364409093">
          <w:marLeft w:val="0"/>
          <w:marRight w:val="0"/>
          <w:marTop w:val="0"/>
          <w:marBottom w:val="0"/>
          <w:divBdr>
            <w:top w:val="none" w:sz="0" w:space="0" w:color="auto"/>
            <w:left w:val="none" w:sz="0" w:space="0" w:color="auto"/>
            <w:bottom w:val="none" w:sz="0" w:space="0" w:color="auto"/>
            <w:right w:val="none" w:sz="0" w:space="0" w:color="auto"/>
          </w:divBdr>
        </w:div>
        <w:div w:id="2046903768">
          <w:marLeft w:val="0"/>
          <w:marRight w:val="0"/>
          <w:marTop w:val="0"/>
          <w:marBottom w:val="0"/>
          <w:divBdr>
            <w:top w:val="none" w:sz="0" w:space="0" w:color="auto"/>
            <w:left w:val="none" w:sz="0" w:space="0" w:color="auto"/>
            <w:bottom w:val="none" w:sz="0" w:space="0" w:color="auto"/>
            <w:right w:val="none" w:sz="0" w:space="0" w:color="auto"/>
          </w:divBdr>
        </w:div>
      </w:divsChild>
    </w:div>
    <w:div w:id="494804172">
      <w:bodyDiv w:val="1"/>
      <w:marLeft w:val="0"/>
      <w:marRight w:val="0"/>
      <w:marTop w:val="0"/>
      <w:marBottom w:val="0"/>
      <w:divBdr>
        <w:top w:val="none" w:sz="0" w:space="0" w:color="auto"/>
        <w:left w:val="none" w:sz="0" w:space="0" w:color="auto"/>
        <w:bottom w:val="none" w:sz="0" w:space="0" w:color="auto"/>
        <w:right w:val="none" w:sz="0" w:space="0" w:color="auto"/>
      </w:divBdr>
    </w:div>
    <w:div w:id="625702328">
      <w:bodyDiv w:val="1"/>
      <w:marLeft w:val="0"/>
      <w:marRight w:val="0"/>
      <w:marTop w:val="0"/>
      <w:marBottom w:val="0"/>
      <w:divBdr>
        <w:top w:val="none" w:sz="0" w:space="0" w:color="auto"/>
        <w:left w:val="none" w:sz="0" w:space="0" w:color="auto"/>
        <w:bottom w:val="none" w:sz="0" w:space="0" w:color="auto"/>
        <w:right w:val="none" w:sz="0" w:space="0" w:color="auto"/>
      </w:divBdr>
    </w:div>
    <w:div w:id="662046527">
      <w:bodyDiv w:val="1"/>
      <w:marLeft w:val="0"/>
      <w:marRight w:val="0"/>
      <w:marTop w:val="0"/>
      <w:marBottom w:val="0"/>
      <w:divBdr>
        <w:top w:val="none" w:sz="0" w:space="0" w:color="auto"/>
        <w:left w:val="none" w:sz="0" w:space="0" w:color="auto"/>
        <w:bottom w:val="none" w:sz="0" w:space="0" w:color="auto"/>
        <w:right w:val="none" w:sz="0" w:space="0" w:color="auto"/>
      </w:divBdr>
    </w:div>
    <w:div w:id="719866018">
      <w:bodyDiv w:val="1"/>
      <w:marLeft w:val="0"/>
      <w:marRight w:val="0"/>
      <w:marTop w:val="0"/>
      <w:marBottom w:val="0"/>
      <w:divBdr>
        <w:top w:val="none" w:sz="0" w:space="0" w:color="auto"/>
        <w:left w:val="none" w:sz="0" w:space="0" w:color="auto"/>
        <w:bottom w:val="none" w:sz="0" w:space="0" w:color="auto"/>
        <w:right w:val="none" w:sz="0" w:space="0" w:color="auto"/>
      </w:divBdr>
    </w:div>
    <w:div w:id="734665242">
      <w:bodyDiv w:val="1"/>
      <w:marLeft w:val="0"/>
      <w:marRight w:val="0"/>
      <w:marTop w:val="0"/>
      <w:marBottom w:val="0"/>
      <w:divBdr>
        <w:top w:val="none" w:sz="0" w:space="0" w:color="auto"/>
        <w:left w:val="none" w:sz="0" w:space="0" w:color="auto"/>
        <w:bottom w:val="none" w:sz="0" w:space="0" w:color="auto"/>
        <w:right w:val="none" w:sz="0" w:space="0" w:color="auto"/>
      </w:divBdr>
    </w:div>
    <w:div w:id="853153565">
      <w:bodyDiv w:val="1"/>
      <w:marLeft w:val="0"/>
      <w:marRight w:val="0"/>
      <w:marTop w:val="0"/>
      <w:marBottom w:val="0"/>
      <w:divBdr>
        <w:top w:val="none" w:sz="0" w:space="0" w:color="auto"/>
        <w:left w:val="none" w:sz="0" w:space="0" w:color="auto"/>
        <w:bottom w:val="none" w:sz="0" w:space="0" w:color="auto"/>
        <w:right w:val="none" w:sz="0" w:space="0" w:color="auto"/>
      </w:divBdr>
    </w:div>
    <w:div w:id="883253355">
      <w:bodyDiv w:val="1"/>
      <w:marLeft w:val="0"/>
      <w:marRight w:val="0"/>
      <w:marTop w:val="0"/>
      <w:marBottom w:val="0"/>
      <w:divBdr>
        <w:top w:val="none" w:sz="0" w:space="0" w:color="auto"/>
        <w:left w:val="none" w:sz="0" w:space="0" w:color="auto"/>
        <w:bottom w:val="none" w:sz="0" w:space="0" w:color="auto"/>
        <w:right w:val="none" w:sz="0" w:space="0" w:color="auto"/>
      </w:divBdr>
    </w:div>
    <w:div w:id="949167832">
      <w:bodyDiv w:val="1"/>
      <w:marLeft w:val="0"/>
      <w:marRight w:val="0"/>
      <w:marTop w:val="0"/>
      <w:marBottom w:val="0"/>
      <w:divBdr>
        <w:top w:val="none" w:sz="0" w:space="0" w:color="auto"/>
        <w:left w:val="none" w:sz="0" w:space="0" w:color="auto"/>
        <w:bottom w:val="none" w:sz="0" w:space="0" w:color="auto"/>
        <w:right w:val="none" w:sz="0" w:space="0" w:color="auto"/>
      </w:divBdr>
    </w:div>
    <w:div w:id="960306947">
      <w:bodyDiv w:val="1"/>
      <w:marLeft w:val="0"/>
      <w:marRight w:val="0"/>
      <w:marTop w:val="0"/>
      <w:marBottom w:val="0"/>
      <w:divBdr>
        <w:top w:val="none" w:sz="0" w:space="0" w:color="auto"/>
        <w:left w:val="none" w:sz="0" w:space="0" w:color="auto"/>
        <w:bottom w:val="none" w:sz="0" w:space="0" w:color="auto"/>
        <w:right w:val="none" w:sz="0" w:space="0" w:color="auto"/>
      </w:divBdr>
    </w:div>
    <w:div w:id="978456941">
      <w:bodyDiv w:val="1"/>
      <w:marLeft w:val="0"/>
      <w:marRight w:val="0"/>
      <w:marTop w:val="0"/>
      <w:marBottom w:val="0"/>
      <w:divBdr>
        <w:top w:val="none" w:sz="0" w:space="0" w:color="auto"/>
        <w:left w:val="none" w:sz="0" w:space="0" w:color="auto"/>
        <w:bottom w:val="none" w:sz="0" w:space="0" w:color="auto"/>
        <w:right w:val="none" w:sz="0" w:space="0" w:color="auto"/>
      </w:divBdr>
    </w:div>
    <w:div w:id="995913344">
      <w:bodyDiv w:val="1"/>
      <w:marLeft w:val="0"/>
      <w:marRight w:val="0"/>
      <w:marTop w:val="0"/>
      <w:marBottom w:val="0"/>
      <w:divBdr>
        <w:top w:val="none" w:sz="0" w:space="0" w:color="auto"/>
        <w:left w:val="none" w:sz="0" w:space="0" w:color="auto"/>
        <w:bottom w:val="none" w:sz="0" w:space="0" w:color="auto"/>
        <w:right w:val="none" w:sz="0" w:space="0" w:color="auto"/>
      </w:divBdr>
    </w:div>
    <w:div w:id="1036154182">
      <w:bodyDiv w:val="1"/>
      <w:marLeft w:val="0"/>
      <w:marRight w:val="0"/>
      <w:marTop w:val="0"/>
      <w:marBottom w:val="0"/>
      <w:divBdr>
        <w:top w:val="none" w:sz="0" w:space="0" w:color="auto"/>
        <w:left w:val="none" w:sz="0" w:space="0" w:color="auto"/>
        <w:bottom w:val="none" w:sz="0" w:space="0" w:color="auto"/>
        <w:right w:val="none" w:sz="0" w:space="0" w:color="auto"/>
      </w:divBdr>
    </w:div>
    <w:div w:id="1064909159">
      <w:bodyDiv w:val="1"/>
      <w:marLeft w:val="0"/>
      <w:marRight w:val="0"/>
      <w:marTop w:val="0"/>
      <w:marBottom w:val="0"/>
      <w:divBdr>
        <w:top w:val="none" w:sz="0" w:space="0" w:color="auto"/>
        <w:left w:val="none" w:sz="0" w:space="0" w:color="auto"/>
        <w:bottom w:val="none" w:sz="0" w:space="0" w:color="auto"/>
        <w:right w:val="none" w:sz="0" w:space="0" w:color="auto"/>
      </w:divBdr>
    </w:div>
    <w:div w:id="1113013092">
      <w:bodyDiv w:val="1"/>
      <w:marLeft w:val="0"/>
      <w:marRight w:val="0"/>
      <w:marTop w:val="0"/>
      <w:marBottom w:val="0"/>
      <w:divBdr>
        <w:top w:val="none" w:sz="0" w:space="0" w:color="auto"/>
        <w:left w:val="none" w:sz="0" w:space="0" w:color="auto"/>
        <w:bottom w:val="none" w:sz="0" w:space="0" w:color="auto"/>
        <w:right w:val="none" w:sz="0" w:space="0" w:color="auto"/>
      </w:divBdr>
    </w:div>
    <w:div w:id="1159729750">
      <w:bodyDiv w:val="1"/>
      <w:marLeft w:val="0"/>
      <w:marRight w:val="0"/>
      <w:marTop w:val="0"/>
      <w:marBottom w:val="0"/>
      <w:divBdr>
        <w:top w:val="none" w:sz="0" w:space="0" w:color="auto"/>
        <w:left w:val="none" w:sz="0" w:space="0" w:color="auto"/>
        <w:bottom w:val="none" w:sz="0" w:space="0" w:color="auto"/>
        <w:right w:val="none" w:sz="0" w:space="0" w:color="auto"/>
      </w:divBdr>
    </w:div>
    <w:div w:id="1191869795">
      <w:bodyDiv w:val="1"/>
      <w:marLeft w:val="0"/>
      <w:marRight w:val="0"/>
      <w:marTop w:val="0"/>
      <w:marBottom w:val="0"/>
      <w:divBdr>
        <w:top w:val="none" w:sz="0" w:space="0" w:color="auto"/>
        <w:left w:val="none" w:sz="0" w:space="0" w:color="auto"/>
        <w:bottom w:val="none" w:sz="0" w:space="0" w:color="auto"/>
        <w:right w:val="none" w:sz="0" w:space="0" w:color="auto"/>
      </w:divBdr>
      <w:divsChild>
        <w:div w:id="1413119997">
          <w:marLeft w:val="0"/>
          <w:marRight w:val="0"/>
          <w:marTop w:val="0"/>
          <w:marBottom w:val="0"/>
          <w:divBdr>
            <w:top w:val="none" w:sz="0" w:space="0" w:color="auto"/>
            <w:left w:val="none" w:sz="0" w:space="0" w:color="auto"/>
            <w:bottom w:val="none" w:sz="0" w:space="0" w:color="auto"/>
            <w:right w:val="none" w:sz="0" w:space="0" w:color="auto"/>
          </w:divBdr>
          <w:divsChild>
            <w:div w:id="830215675">
              <w:marLeft w:val="0"/>
              <w:marRight w:val="0"/>
              <w:marTop w:val="0"/>
              <w:marBottom w:val="0"/>
              <w:divBdr>
                <w:top w:val="none" w:sz="0" w:space="0" w:color="auto"/>
                <w:left w:val="none" w:sz="0" w:space="0" w:color="auto"/>
                <w:bottom w:val="none" w:sz="0" w:space="0" w:color="auto"/>
                <w:right w:val="none" w:sz="0" w:space="0" w:color="auto"/>
              </w:divBdr>
              <w:divsChild>
                <w:div w:id="1208183903">
                  <w:marLeft w:val="0"/>
                  <w:marRight w:val="0"/>
                  <w:marTop w:val="0"/>
                  <w:marBottom w:val="0"/>
                  <w:divBdr>
                    <w:top w:val="none" w:sz="0" w:space="0" w:color="auto"/>
                    <w:left w:val="none" w:sz="0" w:space="0" w:color="auto"/>
                    <w:bottom w:val="none" w:sz="0" w:space="0" w:color="auto"/>
                    <w:right w:val="none" w:sz="0" w:space="0" w:color="auto"/>
                  </w:divBdr>
                  <w:divsChild>
                    <w:div w:id="1462844439">
                      <w:marLeft w:val="0"/>
                      <w:marRight w:val="0"/>
                      <w:marTop w:val="0"/>
                      <w:marBottom w:val="0"/>
                      <w:divBdr>
                        <w:top w:val="none" w:sz="0" w:space="0" w:color="auto"/>
                        <w:left w:val="none" w:sz="0" w:space="0" w:color="auto"/>
                        <w:bottom w:val="none" w:sz="0" w:space="0" w:color="auto"/>
                        <w:right w:val="none" w:sz="0" w:space="0" w:color="auto"/>
                      </w:divBdr>
                      <w:divsChild>
                        <w:div w:id="460074800">
                          <w:marLeft w:val="0"/>
                          <w:marRight w:val="0"/>
                          <w:marTop w:val="0"/>
                          <w:marBottom w:val="0"/>
                          <w:divBdr>
                            <w:top w:val="none" w:sz="0" w:space="0" w:color="auto"/>
                            <w:left w:val="none" w:sz="0" w:space="0" w:color="auto"/>
                            <w:bottom w:val="none" w:sz="0" w:space="0" w:color="auto"/>
                            <w:right w:val="none" w:sz="0" w:space="0" w:color="auto"/>
                          </w:divBdr>
                          <w:divsChild>
                            <w:div w:id="569121684">
                              <w:marLeft w:val="15"/>
                              <w:marRight w:val="195"/>
                              <w:marTop w:val="0"/>
                              <w:marBottom w:val="0"/>
                              <w:divBdr>
                                <w:top w:val="none" w:sz="0" w:space="0" w:color="auto"/>
                                <w:left w:val="none" w:sz="0" w:space="0" w:color="auto"/>
                                <w:bottom w:val="none" w:sz="0" w:space="0" w:color="auto"/>
                                <w:right w:val="none" w:sz="0" w:space="0" w:color="auto"/>
                              </w:divBdr>
                              <w:divsChild>
                                <w:div w:id="84620509">
                                  <w:marLeft w:val="0"/>
                                  <w:marRight w:val="0"/>
                                  <w:marTop w:val="0"/>
                                  <w:marBottom w:val="0"/>
                                  <w:divBdr>
                                    <w:top w:val="none" w:sz="0" w:space="0" w:color="auto"/>
                                    <w:left w:val="none" w:sz="0" w:space="0" w:color="auto"/>
                                    <w:bottom w:val="none" w:sz="0" w:space="0" w:color="auto"/>
                                    <w:right w:val="none" w:sz="0" w:space="0" w:color="auto"/>
                                  </w:divBdr>
                                  <w:divsChild>
                                    <w:div w:id="2066635509">
                                      <w:marLeft w:val="0"/>
                                      <w:marRight w:val="0"/>
                                      <w:marTop w:val="0"/>
                                      <w:marBottom w:val="0"/>
                                      <w:divBdr>
                                        <w:top w:val="none" w:sz="0" w:space="0" w:color="auto"/>
                                        <w:left w:val="none" w:sz="0" w:space="0" w:color="auto"/>
                                        <w:bottom w:val="none" w:sz="0" w:space="0" w:color="auto"/>
                                        <w:right w:val="none" w:sz="0" w:space="0" w:color="auto"/>
                                      </w:divBdr>
                                      <w:divsChild>
                                        <w:div w:id="677539280">
                                          <w:marLeft w:val="0"/>
                                          <w:marRight w:val="0"/>
                                          <w:marTop w:val="0"/>
                                          <w:marBottom w:val="0"/>
                                          <w:divBdr>
                                            <w:top w:val="none" w:sz="0" w:space="0" w:color="auto"/>
                                            <w:left w:val="none" w:sz="0" w:space="0" w:color="auto"/>
                                            <w:bottom w:val="none" w:sz="0" w:space="0" w:color="auto"/>
                                            <w:right w:val="none" w:sz="0" w:space="0" w:color="auto"/>
                                          </w:divBdr>
                                          <w:divsChild>
                                            <w:div w:id="1331442302">
                                              <w:marLeft w:val="0"/>
                                              <w:marRight w:val="0"/>
                                              <w:marTop w:val="0"/>
                                              <w:marBottom w:val="0"/>
                                              <w:divBdr>
                                                <w:top w:val="none" w:sz="0" w:space="0" w:color="auto"/>
                                                <w:left w:val="none" w:sz="0" w:space="0" w:color="auto"/>
                                                <w:bottom w:val="none" w:sz="0" w:space="0" w:color="auto"/>
                                                <w:right w:val="none" w:sz="0" w:space="0" w:color="auto"/>
                                              </w:divBdr>
                                              <w:divsChild>
                                                <w:div w:id="666982715">
                                                  <w:marLeft w:val="0"/>
                                                  <w:marRight w:val="0"/>
                                                  <w:marTop w:val="0"/>
                                                  <w:marBottom w:val="0"/>
                                                  <w:divBdr>
                                                    <w:top w:val="none" w:sz="0" w:space="0" w:color="auto"/>
                                                    <w:left w:val="none" w:sz="0" w:space="0" w:color="auto"/>
                                                    <w:bottom w:val="none" w:sz="0" w:space="0" w:color="auto"/>
                                                    <w:right w:val="none" w:sz="0" w:space="0" w:color="auto"/>
                                                  </w:divBdr>
                                                  <w:divsChild>
                                                    <w:div w:id="648947632">
                                                      <w:marLeft w:val="0"/>
                                                      <w:marRight w:val="0"/>
                                                      <w:marTop w:val="0"/>
                                                      <w:marBottom w:val="0"/>
                                                      <w:divBdr>
                                                        <w:top w:val="none" w:sz="0" w:space="0" w:color="auto"/>
                                                        <w:left w:val="none" w:sz="0" w:space="0" w:color="auto"/>
                                                        <w:bottom w:val="none" w:sz="0" w:space="0" w:color="auto"/>
                                                        <w:right w:val="none" w:sz="0" w:space="0" w:color="auto"/>
                                                      </w:divBdr>
                                                      <w:divsChild>
                                                        <w:div w:id="628630521">
                                                          <w:marLeft w:val="0"/>
                                                          <w:marRight w:val="0"/>
                                                          <w:marTop w:val="0"/>
                                                          <w:marBottom w:val="0"/>
                                                          <w:divBdr>
                                                            <w:top w:val="none" w:sz="0" w:space="0" w:color="auto"/>
                                                            <w:left w:val="none" w:sz="0" w:space="0" w:color="auto"/>
                                                            <w:bottom w:val="none" w:sz="0" w:space="0" w:color="auto"/>
                                                            <w:right w:val="none" w:sz="0" w:space="0" w:color="auto"/>
                                                          </w:divBdr>
                                                          <w:divsChild>
                                                            <w:div w:id="2016763548">
                                                              <w:marLeft w:val="0"/>
                                                              <w:marRight w:val="0"/>
                                                              <w:marTop w:val="0"/>
                                                              <w:marBottom w:val="0"/>
                                                              <w:divBdr>
                                                                <w:top w:val="none" w:sz="0" w:space="0" w:color="auto"/>
                                                                <w:left w:val="none" w:sz="0" w:space="0" w:color="auto"/>
                                                                <w:bottom w:val="none" w:sz="0" w:space="0" w:color="auto"/>
                                                                <w:right w:val="none" w:sz="0" w:space="0" w:color="auto"/>
                                                              </w:divBdr>
                                                              <w:divsChild>
                                                                <w:div w:id="631205288">
                                                                  <w:marLeft w:val="0"/>
                                                                  <w:marRight w:val="0"/>
                                                                  <w:marTop w:val="0"/>
                                                                  <w:marBottom w:val="0"/>
                                                                  <w:divBdr>
                                                                    <w:top w:val="none" w:sz="0" w:space="0" w:color="auto"/>
                                                                    <w:left w:val="none" w:sz="0" w:space="0" w:color="auto"/>
                                                                    <w:bottom w:val="none" w:sz="0" w:space="0" w:color="auto"/>
                                                                    <w:right w:val="none" w:sz="0" w:space="0" w:color="auto"/>
                                                                  </w:divBdr>
                                                                  <w:divsChild>
                                                                    <w:div w:id="1133326984">
                                                                      <w:marLeft w:val="405"/>
                                                                      <w:marRight w:val="0"/>
                                                                      <w:marTop w:val="0"/>
                                                                      <w:marBottom w:val="0"/>
                                                                      <w:divBdr>
                                                                        <w:top w:val="none" w:sz="0" w:space="0" w:color="auto"/>
                                                                        <w:left w:val="none" w:sz="0" w:space="0" w:color="auto"/>
                                                                        <w:bottom w:val="none" w:sz="0" w:space="0" w:color="auto"/>
                                                                        <w:right w:val="none" w:sz="0" w:space="0" w:color="auto"/>
                                                                      </w:divBdr>
                                                                      <w:divsChild>
                                                                        <w:div w:id="1618370942">
                                                                          <w:marLeft w:val="0"/>
                                                                          <w:marRight w:val="0"/>
                                                                          <w:marTop w:val="0"/>
                                                                          <w:marBottom w:val="0"/>
                                                                          <w:divBdr>
                                                                            <w:top w:val="none" w:sz="0" w:space="0" w:color="auto"/>
                                                                            <w:left w:val="none" w:sz="0" w:space="0" w:color="auto"/>
                                                                            <w:bottom w:val="none" w:sz="0" w:space="0" w:color="auto"/>
                                                                            <w:right w:val="none" w:sz="0" w:space="0" w:color="auto"/>
                                                                          </w:divBdr>
                                                                          <w:divsChild>
                                                                            <w:div w:id="1236665517">
                                                                              <w:marLeft w:val="0"/>
                                                                              <w:marRight w:val="0"/>
                                                                              <w:marTop w:val="0"/>
                                                                              <w:marBottom w:val="0"/>
                                                                              <w:divBdr>
                                                                                <w:top w:val="none" w:sz="0" w:space="0" w:color="auto"/>
                                                                                <w:left w:val="none" w:sz="0" w:space="0" w:color="auto"/>
                                                                                <w:bottom w:val="none" w:sz="0" w:space="0" w:color="auto"/>
                                                                                <w:right w:val="none" w:sz="0" w:space="0" w:color="auto"/>
                                                                              </w:divBdr>
                                                                              <w:divsChild>
                                                                                <w:div w:id="572930958">
                                                                                  <w:marLeft w:val="0"/>
                                                                                  <w:marRight w:val="0"/>
                                                                                  <w:marTop w:val="0"/>
                                                                                  <w:marBottom w:val="0"/>
                                                                                  <w:divBdr>
                                                                                    <w:top w:val="none" w:sz="0" w:space="0" w:color="auto"/>
                                                                                    <w:left w:val="none" w:sz="0" w:space="0" w:color="auto"/>
                                                                                    <w:bottom w:val="none" w:sz="0" w:space="0" w:color="auto"/>
                                                                                    <w:right w:val="none" w:sz="0" w:space="0" w:color="auto"/>
                                                                                  </w:divBdr>
                                                                                  <w:divsChild>
                                                                                    <w:div w:id="269240272">
                                                                                      <w:marLeft w:val="0"/>
                                                                                      <w:marRight w:val="0"/>
                                                                                      <w:marTop w:val="0"/>
                                                                                      <w:marBottom w:val="0"/>
                                                                                      <w:divBdr>
                                                                                        <w:top w:val="none" w:sz="0" w:space="0" w:color="auto"/>
                                                                                        <w:left w:val="none" w:sz="0" w:space="0" w:color="auto"/>
                                                                                        <w:bottom w:val="none" w:sz="0" w:space="0" w:color="auto"/>
                                                                                        <w:right w:val="none" w:sz="0" w:space="0" w:color="auto"/>
                                                                                      </w:divBdr>
                                                                                      <w:divsChild>
                                                                                        <w:div w:id="717775933">
                                                                                          <w:marLeft w:val="0"/>
                                                                                          <w:marRight w:val="0"/>
                                                                                          <w:marTop w:val="0"/>
                                                                                          <w:marBottom w:val="0"/>
                                                                                          <w:divBdr>
                                                                                            <w:top w:val="none" w:sz="0" w:space="0" w:color="auto"/>
                                                                                            <w:left w:val="none" w:sz="0" w:space="0" w:color="auto"/>
                                                                                            <w:bottom w:val="none" w:sz="0" w:space="0" w:color="auto"/>
                                                                                            <w:right w:val="none" w:sz="0" w:space="0" w:color="auto"/>
                                                                                          </w:divBdr>
                                                                                          <w:divsChild>
                                                                                            <w:div w:id="1101342777">
                                                                                              <w:marLeft w:val="0"/>
                                                                                              <w:marRight w:val="0"/>
                                                                                              <w:marTop w:val="0"/>
                                                                                              <w:marBottom w:val="0"/>
                                                                                              <w:divBdr>
                                                                                                <w:top w:val="none" w:sz="0" w:space="0" w:color="auto"/>
                                                                                                <w:left w:val="none" w:sz="0" w:space="0" w:color="auto"/>
                                                                                                <w:bottom w:val="none" w:sz="0" w:space="0" w:color="auto"/>
                                                                                                <w:right w:val="none" w:sz="0" w:space="0" w:color="auto"/>
                                                                                              </w:divBdr>
                                                                                              <w:divsChild>
                                                                                                <w:div w:id="156960793">
                                                                                                  <w:marLeft w:val="0"/>
                                                                                                  <w:marRight w:val="0"/>
                                                                                                  <w:marTop w:val="15"/>
                                                                                                  <w:marBottom w:val="0"/>
                                                                                                  <w:divBdr>
                                                                                                    <w:top w:val="none" w:sz="0" w:space="0" w:color="auto"/>
                                                                                                    <w:left w:val="none" w:sz="0" w:space="0" w:color="auto"/>
                                                                                                    <w:bottom w:val="single" w:sz="6" w:space="15" w:color="auto"/>
                                                                                                    <w:right w:val="none" w:sz="0" w:space="0" w:color="auto"/>
                                                                                                  </w:divBdr>
                                                                                                  <w:divsChild>
                                                                                                    <w:div w:id="1319194229">
                                                                                                      <w:marLeft w:val="0"/>
                                                                                                      <w:marRight w:val="0"/>
                                                                                                      <w:marTop w:val="180"/>
                                                                                                      <w:marBottom w:val="0"/>
                                                                                                      <w:divBdr>
                                                                                                        <w:top w:val="none" w:sz="0" w:space="0" w:color="auto"/>
                                                                                                        <w:left w:val="none" w:sz="0" w:space="0" w:color="auto"/>
                                                                                                        <w:bottom w:val="none" w:sz="0" w:space="0" w:color="auto"/>
                                                                                                        <w:right w:val="none" w:sz="0" w:space="0" w:color="auto"/>
                                                                                                      </w:divBdr>
                                                                                                      <w:divsChild>
                                                                                                        <w:div w:id="1802964004">
                                                                                                          <w:marLeft w:val="0"/>
                                                                                                          <w:marRight w:val="0"/>
                                                                                                          <w:marTop w:val="0"/>
                                                                                                          <w:marBottom w:val="0"/>
                                                                                                          <w:divBdr>
                                                                                                            <w:top w:val="none" w:sz="0" w:space="0" w:color="auto"/>
                                                                                                            <w:left w:val="none" w:sz="0" w:space="0" w:color="auto"/>
                                                                                                            <w:bottom w:val="none" w:sz="0" w:space="0" w:color="auto"/>
                                                                                                            <w:right w:val="none" w:sz="0" w:space="0" w:color="auto"/>
                                                                                                          </w:divBdr>
                                                                                                          <w:divsChild>
                                                                                                            <w:div w:id="1417020736">
                                                                                                              <w:marLeft w:val="0"/>
                                                                                                              <w:marRight w:val="0"/>
                                                                                                              <w:marTop w:val="0"/>
                                                                                                              <w:marBottom w:val="0"/>
                                                                                                              <w:divBdr>
                                                                                                                <w:top w:val="none" w:sz="0" w:space="0" w:color="auto"/>
                                                                                                                <w:left w:val="none" w:sz="0" w:space="0" w:color="auto"/>
                                                                                                                <w:bottom w:val="none" w:sz="0" w:space="0" w:color="auto"/>
                                                                                                                <w:right w:val="none" w:sz="0" w:space="0" w:color="auto"/>
                                                                                                              </w:divBdr>
                                                                                                              <w:divsChild>
                                                                                                                <w:div w:id="2025089147">
                                                                                                                  <w:marLeft w:val="0"/>
                                                                                                                  <w:marRight w:val="0"/>
                                                                                                                  <w:marTop w:val="30"/>
                                                                                                                  <w:marBottom w:val="0"/>
                                                                                                                  <w:divBdr>
                                                                                                                    <w:top w:val="none" w:sz="0" w:space="0" w:color="auto"/>
                                                                                                                    <w:left w:val="none" w:sz="0" w:space="0" w:color="auto"/>
                                                                                                                    <w:bottom w:val="none" w:sz="0" w:space="0" w:color="auto"/>
                                                                                                                    <w:right w:val="none" w:sz="0" w:space="0" w:color="auto"/>
                                                                                                                  </w:divBdr>
                                                                                                                  <w:divsChild>
                                                                                                                    <w:div w:id="1178034116">
                                                                                                                      <w:marLeft w:val="0"/>
                                                                                                                      <w:marRight w:val="0"/>
                                                                                                                      <w:marTop w:val="0"/>
                                                                                                                      <w:marBottom w:val="0"/>
                                                                                                                      <w:divBdr>
                                                                                                                        <w:top w:val="none" w:sz="0" w:space="0" w:color="auto"/>
                                                                                                                        <w:left w:val="none" w:sz="0" w:space="0" w:color="auto"/>
                                                                                                                        <w:bottom w:val="none" w:sz="0" w:space="0" w:color="auto"/>
                                                                                                                        <w:right w:val="none" w:sz="0" w:space="0" w:color="auto"/>
                                                                                                                      </w:divBdr>
                                                                                                                      <w:divsChild>
                                                                                                                        <w:div w:id="409471916">
                                                                                                                          <w:marLeft w:val="0"/>
                                                                                                                          <w:marRight w:val="0"/>
                                                                                                                          <w:marTop w:val="0"/>
                                                                                                                          <w:marBottom w:val="0"/>
                                                                                                                          <w:divBdr>
                                                                                                                            <w:top w:val="none" w:sz="0" w:space="0" w:color="auto"/>
                                                                                                                            <w:left w:val="none" w:sz="0" w:space="0" w:color="auto"/>
                                                                                                                            <w:bottom w:val="none" w:sz="0" w:space="0" w:color="auto"/>
                                                                                                                            <w:right w:val="none" w:sz="0" w:space="0" w:color="auto"/>
                                                                                                                          </w:divBdr>
                                                                                                                          <w:divsChild>
                                                                                                                            <w:div w:id="1052074111">
                                                                                                                              <w:marLeft w:val="0"/>
                                                                                                                              <w:marRight w:val="0"/>
                                                                                                                              <w:marTop w:val="0"/>
                                                                                                                              <w:marBottom w:val="0"/>
                                                                                                                              <w:divBdr>
                                                                                                                                <w:top w:val="none" w:sz="0" w:space="0" w:color="auto"/>
                                                                                                                                <w:left w:val="none" w:sz="0" w:space="0" w:color="auto"/>
                                                                                                                                <w:bottom w:val="none" w:sz="0" w:space="0" w:color="auto"/>
                                                                                                                                <w:right w:val="none" w:sz="0" w:space="0" w:color="auto"/>
                                                                                                                              </w:divBdr>
                                                                                                                              <w:divsChild>
                                                                                                                                <w:div w:id="19165979">
                                                                                                                                  <w:marLeft w:val="0"/>
                                                                                                                                  <w:marRight w:val="0"/>
                                                                                                                                  <w:marTop w:val="0"/>
                                                                                                                                  <w:marBottom w:val="0"/>
                                                                                                                                  <w:divBdr>
                                                                                                                                    <w:top w:val="none" w:sz="0" w:space="0" w:color="auto"/>
                                                                                                                                    <w:left w:val="none" w:sz="0" w:space="0" w:color="auto"/>
                                                                                                                                    <w:bottom w:val="none" w:sz="0" w:space="0" w:color="auto"/>
                                                                                                                                    <w:right w:val="none" w:sz="0" w:space="0" w:color="auto"/>
                                                                                                                                  </w:divBdr>
                                                                                                                                </w:div>
                                                                                                                                <w:div w:id="67189749">
                                                                                                                                  <w:marLeft w:val="0"/>
                                                                                                                                  <w:marRight w:val="0"/>
                                                                                                                                  <w:marTop w:val="0"/>
                                                                                                                                  <w:marBottom w:val="0"/>
                                                                                                                                  <w:divBdr>
                                                                                                                                    <w:top w:val="none" w:sz="0" w:space="0" w:color="auto"/>
                                                                                                                                    <w:left w:val="none" w:sz="0" w:space="0" w:color="auto"/>
                                                                                                                                    <w:bottom w:val="none" w:sz="0" w:space="0" w:color="auto"/>
                                                                                                                                    <w:right w:val="none" w:sz="0" w:space="0" w:color="auto"/>
                                                                                                                                  </w:divBdr>
                                                                                                                                </w:div>
                                                                                                                                <w:div w:id="94446417">
                                                                                                                                  <w:marLeft w:val="0"/>
                                                                                                                                  <w:marRight w:val="0"/>
                                                                                                                                  <w:marTop w:val="0"/>
                                                                                                                                  <w:marBottom w:val="0"/>
                                                                                                                                  <w:divBdr>
                                                                                                                                    <w:top w:val="none" w:sz="0" w:space="0" w:color="auto"/>
                                                                                                                                    <w:left w:val="none" w:sz="0" w:space="0" w:color="auto"/>
                                                                                                                                    <w:bottom w:val="none" w:sz="0" w:space="0" w:color="auto"/>
                                                                                                                                    <w:right w:val="none" w:sz="0" w:space="0" w:color="auto"/>
                                                                                                                                  </w:divBdr>
                                                                                                                                </w:div>
                                                                                                                                <w:div w:id="125903662">
                                                                                                                                  <w:marLeft w:val="0"/>
                                                                                                                                  <w:marRight w:val="0"/>
                                                                                                                                  <w:marTop w:val="0"/>
                                                                                                                                  <w:marBottom w:val="0"/>
                                                                                                                                  <w:divBdr>
                                                                                                                                    <w:top w:val="none" w:sz="0" w:space="0" w:color="auto"/>
                                                                                                                                    <w:left w:val="none" w:sz="0" w:space="0" w:color="auto"/>
                                                                                                                                    <w:bottom w:val="none" w:sz="0" w:space="0" w:color="auto"/>
                                                                                                                                    <w:right w:val="none" w:sz="0" w:space="0" w:color="auto"/>
                                                                                                                                  </w:divBdr>
                                                                                                                                </w:div>
                                                                                                                                <w:div w:id="179390365">
                                                                                                                                  <w:marLeft w:val="0"/>
                                                                                                                                  <w:marRight w:val="0"/>
                                                                                                                                  <w:marTop w:val="0"/>
                                                                                                                                  <w:marBottom w:val="0"/>
                                                                                                                                  <w:divBdr>
                                                                                                                                    <w:top w:val="none" w:sz="0" w:space="0" w:color="auto"/>
                                                                                                                                    <w:left w:val="none" w:sz="0" w:space="0" w:color="auto"/>
                                                                                                                                    <w:bottom w:val="none" w:sz="0" w:space="0" w:color="auto"/>
                                                                                                                                    <w:right w:val="none" w:sz="0" w:space="0" w:color="auto"/>
                                                                                                                                  </w:divBdr>
                                                                                                                                </w:div>
                                                                                                                                <w:div w:id="315259426">
                                                                                                                                  <w:marLeft w:val="0"/>
                                                                                                                                  <w:marRight w:val="0"/>
                                                                                                                                  <w:marTop w:val="0"/>
                                                                                                                                  <w:marBottom w:val="0"/>
                                                                                                                                  <w:divBdr>
                                                                                                                                    <w:top w:val="none" w:sz="0" w:space="0" w:color="auto"/>
                                                                                                                                    <w:left w:val="none" w:sz="0" w:space="0" w:color="auto"/>
                                                                                                                                    <w:bottom w:val="none" w:sz="0" w:space="0" w:color="auto"/>
                                                                                                                                    <w:right w:val="none" w:sz="0" w:space="0" w:color="auto"/>
                                                                                                                                  </w:divBdr>
                                                                                                                                </w:div>
                                                                                                                                <w:div w:id="332803956">
                                                                                                                                  <w:marLeft w:val="0"/>
                                                                                                                                  <w:marRight w:val="0"/>
                                                                                                                                  <w:marTop w:val="0"/>
                                                                                                                                  <w:marBottom w:val="0"/>
                                                                                                                                  <w:divBdr>
                                                                                                                                    <w:top w:val="none" w:sz="0" w:space="0" w:color="auto"/>
                                                                                                                                    <w:left w:val="none" w:sz="0" w:space="0" w:color="auto"/>
                                                                                                                                    <w:bottom w:val="none" w:sz="0" w:space="0" w:color="auto"/>
                                                                                                                                    <w:right w:val="none" w:sz="0" w:space="0" w:color="auto"/>
                                                                                                                                  </w:divBdr>
                                                                                                                                </w:div>
                                                                                                                                <w:div w:id="363482262">
                                                                                                                                  <w:marLeft w:val="0"/>
                                                                                                                                  <w:marRight w:val="0"/>
                                                                                                                                  <w:marTop w:val="0"/>
                                                                                                                                  <w:marBottom w:val="0"/>
                                                                                                                                  <w:divBdr>
                                                                                                                                    <w:top w:val="none" w:sz="0" w:space="0" w:color="auto"/>
                                                                                                                                    <w:left w:val="none" w:sz="0" w:space="0" w:color="auto"/>
                                                                                                                                    <w:bottom w:val="none" w:sz="0" w:space="0" w:color="auto"/>
                                                                                                                                    <w:right w:val="none" w:sz="0" w:space="0" w:color="auto"/>
                                                                                                                                  </w:divBdr>
                                                                                                                                </w:div>
                                                                                                                                <w:div w:id="532117105">
                                                                                                                                  <w:marLeft w:val="0"/>
                                                                                                                                  <w:marRight w:val="0"/>
                                                                                                                                  <w:marTop w:val="0"/>
                                                                                                                                  <w:marBottom w:val="0"/>
                                                                                                                                  <w:divBdr>
                                                                                                                                    <w:top w:val="none" w:sz="0" w:space="0" w:color="auto"/>
                                                                                                                                    <w:left w:val="none" w:sz="0" w:space="0" w:color="auto"/>
                                                                                                                                    <w:bottom w:val="none" w:sz="0" w:space="0" w:color="auto"/>
                                                                                                                                    <w:right w:val="none" w:sz="0" w:space="0" w:color="auto"/>
                                                                                                                                  </w:divBdr>
                                                                                                                                </w:div>
                                                                                                                                <w:div w:id="601300021">
                                                                                                                                  <w:marLeft w:val="0"/>
                                                                                                                                  <w:marRight w:val="0"/>
                                                                                                                                  <w:marTop w:val="0"/>
                                                                                                                                  <w:marBottom w:val="0"/>
                                                                                                                                  <w:divBdr>
                                                                                                                                    <w:top w:val="none" w:sz="0" w:space="0" w:color="auto"/>
                                                                                                                                    <w:left w:val="none" w:sz="0" w:space="0" w:color="auto"/>
                                                                                                                                    <w:bottom w:val="none" w:sz="0" w:space="0" w:color="auto"/>
                                                                                                                                    <w:right w:val="none" w:sz="0" w:space="0" w:color="auto"/>
                                                                                                                                  </w:divBdr>
                                                                                                                                </w:div>
                                                                                                                                <w:div w:id="690570675">
                                                                                                                                  <w:marLeft w:val="0"/>
                                                                                                                                  <w:marRight w:val="0"/>
                                                                                                                                  <w:marTop w:val="0"/>
                                                                                                                                  <w:marBottom w:val="0"/>
                                                                                                                                  <w:divBdr>
                                                                                                                                    <w:top w:val="none" w:sz="0" w:space="0" w:color="auto"/>
                                                                                                                                    <w:left w:val="none" w:sz="0" w:space="0" w:color="auto"/>
                                                                                                                                    <w:bottom w:val="none" w:sz="0" w:space="0" w:color="auto"/>
                                                                                                                                    <w:right w:val="none" w:sz="0" w:space="0" w:color="auto"/>
                                                                                                                                  </w:divBdr>
                                                                                                                                </w:div>
                                                                                                                                <w:div w:id="783309480">
                                                                                                                                  <w:marLeft w:val="0"/>
                                                                                                                                  <w:marRight w:val="0"/>
                                                                                                                                  <w:marTop w:val="0"/>
                                                                                                                                  <w:marBottom w:val="0"/>
                                                                                                                                  <w:divBdr>
                                                                                                                                    <w:top w:val="none" w:sz="0" w:space="0" w:color="auto"/>
                                                                                                                                    <w:left w:val="none" w:sz="0" w:space="0" w:color="auto"/>
                                                                                                                                    <w:bottom w:val="none" w:sz="0" w:space="0" w:color="auto"/>
                                                                                                                                    <w:right w:val="none" w:sz="0" w:space="0" w:color="auto"/>
                                                                                                                                  </w:divBdr>
                                                                                                                                </w:div>
                                                                                                                                <w:div w:id="786436155">
                                                                                                                                  <w:marLeft w:val="0"/>
                                                                                                                                  <w:marRight w:val="0"/>
                                                                                                                                  <w:marTop w:val="0"/>
                                                                                                                                  <w:marBottom w:val="0"/>
                                                                                                                                  <w:divBdr>
                                                                                                                                    <w:top w:val="none" w:sz="0" w:space="0" w:color="auto"/>
                                                                                                                                    <w:left w:val="none" w:sz="0" w:space="0" w:color="auto"/>
                                                                                                                                    <w:bottom w:val="none" w:sz="0" w:space="0" w:color="auto"/>
                                                                                                                                    <w:right w:val="none" w:sz="0" w:space="0" w:color="auto"/>
                                                                                                                                  </w:divBdr>
                                                                                                                                </w:div>
                                                                                                                                <w:div w:id="824009193">
                                                                                                                                  <w:marLeft w:val="0"/>
                                                                                                                                  <w:marRight w:val="0"/>
                                                                                                                                  <w:marTop w:val="0"/>
                                                                                                                                  <w:marBottom w:val="0"/>
                                                                                                                                  <w:divBdr>
                                                                                                                                    <w:top w:val="none" w:sz="0" w:space="0" w:color="auto"/>
                                                                                                                                    <w:left w:val="none" w:sz="0" w:space="0" w:color="auto"/>
                                                                                                                                    <w:bottom w:val="none" w:sz="0" w:space="0" w:color="auto"/>
                                                                                                                                    <w:right w:val="none" w:sz="0" w:space="0" w:color="auto"/>
                                                                                                                                  </w:divBdr>
                                                                                                                                </w:div>
                                                                                                                                <w:div w:id="891426764">
                                                                                                                                  <w:marLeft w:val="0"/>
                                                                                                                                  <w:marRight w:val="0"/>
                                                                                                                                  <w:marTop w:val="0"/>
                                                                                                                                  <w:marBottom w:val="0"/>
                                                                                                                                  <w:divBdr>
                                                                                                                                    <w:top w:val="none" w:sz="0" w:space="0" w:color="auto"/>
                                                                                                                                    <w:left w:val="none" w:sz="0" w:space="0" w:color="auto"/>
                                                                                                                                    <w:bottom w:val="none" w:sz="0" w:space="0" w:color="auto"/>
                                                                                                                                    <w:right w:val="none" w:sz="0" w:space="0" w:color="auto"/>
                                                                                                                                  </w:divBdr>
                                                                                                                                </w:div>
                                                                                                                                <w:div w:id="906961246">
                                                                                                                                  <w:marLeft w:val="0"/>
                                                                                                                                  <w:marRight w:val="0"/>
                                                                                                                                  <w:marTop w:val="0"/>
                                                                                                                                  <w:marBottom w:val="0"/>
                                                                                                                                  <w:divBdr>
                                                                                                                                    <w:top w:val="none" w:sz="0" w:space="0" w:color="auto"/>
                                                                                                                                    <w:left w:val="none" w:sz="0" w:space="0" w:color="auto"/>
                                                                                                                                    <w:bottom w:val="none" w:sz="0" w:space="0" w:color="auto"/>
                                                                                                                                    <w:right w:val="none" w:sz="0" w:space="0" w:color="auto"/>
                                                                                                                                  </w:divBdr>
                                                                                                                                </w:div>
                                                                                                                                <w:div w:id="1464156666">
                                                                                                                                  <w:marLeft w:val="0"/>
                                                                                                                                  <w:marRight w:val="0"/>
                                                                                                                                  <w:marTop w:val="0"/>
                                                                                                                                  <w:marBottom w:val="0"/>
                                                                                                                                  <w:divBdr>
                                                                                                                                    <w:top w:val="none" w:sz="0" w:space="0" w:color="auto"/>
                                                                                                                                    <w:left w:val="none" w:sz="0" w:space="0" w:color="auto"/>
                                                                                                                                    <w:bottom w:val="none" w:sz="0" w:space="0" w:color="auto"/>
                                                                                                                                    <w:right w:val="none" w:sz="0" w:space="0" w:color="auto"/>
                                                                                                                                  </w:divBdr>
                                                                                                                                </w:div>
                                                                                                                                <w:div w:id="1632049746">
                                                                                                                                  <w:marLeft w:val="0"/>
                                                                                                                                  <w:marRight w:val="0"/>
                                                                                                                                  <w:marTop w:val="0"/>
                                                                                                                                  <w:marBottom w:val="0"/>
                                                                                                                                  <w:divBdr>
                                                                                                                                    <w:top w:val="none" w:sz="0" w:space="0" w:color="auto"/>
                                                                                                                                    <w:left w:val="none" w:sz="0" w:space="0" w:color="auto"/>
                                                                                                                                    <w:bottom w:val="none" w:sz="0" w:space="0" w:color="auto"/>
                                                                                                                                    <w:right w:val="none" w:sz="0" w:space="0" w:color="auto"/>
                                                                                                                                  </w:divBdr>
                                                                                                                                </w:div>
                                                                                                                                <w:div w:id="1702509432">
                                                                                                                                  <w:marLeft w:val="0"/>
                                                                                                                                  <w:marRight w:val="0"/>
                                                                                                                                  <w:marTop w:val="0"/>
                                                                                                                                  <w:marBottom w:val="0"/>
                                                                                                                                  <w:divBdr>
                                                                                                                                    <w:top w:val="none" w:sz="0" w:space="0" w:color="auto"/>
                                                                                                                                    <w:left w:val="none" w:sz="0" w:space="0" w:color="auto"/>
                                                                                                                                    <w:bottom w:val="none" w:sz="0" w:space="0" w:color="auto"/>
                                                                                                                                    <w:right w:val="none" w:sz="0" w:space="0" w:color="auto"/>
                                                                                                                                  </w:divBdr>
                                                                                                                                </w:div>
                                                                                                                                <w:div w:id="1773237739">
                                                                                                                                  <w:marLeft w:val="0"/>
                                                                                                                                  <w:marRight w:val="0"/>
                                                                                                                                  <w:marTop w:val="0"/>
                                                                                                                                  <w:marBottom w:val="0"/>
                                                                                                                                  <w:divBdr>
                                                                                                                                    <w:top w:val="none" w:sz="0" w:space="0" w:color="auto"/>
                                                                                                                                    <w:left w:val="none" w:sz="0" w:space="0" w:color="auto"/>
                                                                                                                                    <w:bottom w:val="none" w:sz="0" w:space="0" w:color="auto"/>
                                                                                                                                    <w:right w:val="none" w:sz="0" w:space="0" w:color="auto"/>
                                                                                                                                  </w:divBdr>
                                                                                                                                </w:div>
                                                                                                                                <w:div w:id="1947074857">
                                                                                                                                  <w:marLeft w:val="0"/>
                                                                                                                                  <w:marRight w:val="0"/>
                                                                                                                                  <w:marTop w:val="0"/>
                                                                                                                                  <w:marBottom w:val="0"/>
                                                                                                                                  <w:divBdr>
                                                                                                                                    <w:top w:val="none" w:sz="0" w:space="0" w:color="auto"/>
                                                                                                                                    <w:left w:val="none" w:sz="0" w:space="0" w:color="auto"/>
                                                                                                                                    <w:bottom w:val="none" w:sz="0" w:space="0" w:color="auto"/>
                                                                                                                                    <w:right w:val="none" w:sz="0" w:space="0" w:color="auto"/>
                                                                                                                                  </w:divBdr>
                                                                                                                                </w:div>
                                                                                                                                <w:div w:id="202023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0210884">
      <w:bodyDiv w:val="1"/>
      <w:marLeft w:val="0"/>
      <w:marRight w:val="0"/>
      <w:marTop w:val="0"/>
      <w:marBottom w:val="0"/>
      <w:divBdr>
        <w:top w:val="none" w:sz="0" w:space="0" w:color="auto"/>
        <w:left w:val="none" w:sz="0" w:space="0" w:color="auto"/>
        <w:bottom w:val="none" w:sz="0" w:space="0" w:color="auto"/>
        <w:right w:val="none" w:sz="0" w:space="0" w:color="auto"/>
      </w:divBdr>
    </w:div>
    <w:div w:id="1286035522">
      <w:bodyDiv w:val="1"/>
      <w:marLeft w:val="0"/>
      <w:marRight w:val="0"/>
      <w:marTop w:val="0"/>
      <w:marBottom w:val="0"/>
      <w:divBdr>
        <w:top w:val="none" w:sz="0" w:space="0" w:color="auto"/>
        <w:left w:val="none" w:sz="0" w:space="0" w:color="auto"/>
        <w:bottom w:val="none" w:sz="0" w:space="0" w:color="auto"/>
        <w:right w:val="none" w:sz="0" w:space="0" w:color="auto"/>
      </w:divBdr>
    </w:div>
    <w:div w:id="1300303201">
      <w:bodyDiv w:val="1"/>
      <w:marLeft w:val="0"/>
      <w:marRight w:val="0"/>
      <w:marTop w:val="0"/>
      <w:marBottom w:val="0"/>
      <w:divBdr>
        <w:top w:val="none" w:sz="0" w:space="0" w:color="auto"/>
        <w:left w:val="none" w:sz="0" w:space="0" w:color="auto"/>
        <w:bottom w:val="none" w:sz="0" w:space="0" w:color="auto"/>
        <w:right w:val="none" w:sz="0" w:space="0" w:color="auto"/>
      </w:divBdr>
    </w:div>
    <w:div w:id="1309242791">
      <w:bodyDiv w:val="1"/>
      <w:marLeft w:val="0"/>
      <w:marRight w:val="0"/>
      <w:marTop w:val="0"/>
      <w:marBottom w:val="0"/>
      <w:divBdr>
        <w:top w:val="none" w:sz="0" w:space="0" w:color="auto"/>
        <w:left w:val="none" w:sz="0" w:space="0" w:color="auto"/>
        <w:bottom w:val="none" w:sz="0" w:space="0" w:color="auto"/>
        <w:right w:val="none" w:sz="0" w:space="0" w:color="auto"/>
      </w:divBdr>
    </w:div>
    <w:div w:id="1345746073">
      <w:bodyDiv w:val="1"/>
      <w:marLeft w:val="0"/>
      <w:marRight w:val="0"/>
      <w:marTop w:val="0"/>
      <w:marBottom w:val="0"/>
      <w:divBdr>
        <w:top w:val="none" w:sz="0" w:space="0" w:color="auto"/>
        <w:left w:val="none" w:sz="0" w:space="0" w:color="auto"/>
        <w:bottom w:val="none" w:sz="0" w:space="0" w:color="auto"/>
        <w:right w:val="none" w:sz="0" w:space="0" w:color="auto"/>
      </w:divBdr>
    </w:div>
    <w:div w:id="1394161419">
      <w:bodyDiv w:val="1"/>
      <w:marLeft w:val="0"/>
      <w:marRight w:val="0"/>
      <w:marTop w:val="0"/>
      <w:marBottom w:val="0"/>
      <w:divBdr>
        <w:top w:val="none" w:sz="0" w:space="0" w:color="auto"/>
        <w:left w:val="none" w:sz="0" w:space="0" w:color="auto"/>
        <w:bottom w:val="none" w:sz="0" w:space="0" w:color="auto"/>
        <w:right w:val="none" w:sz="0" w:space="0" w:color="auto"/>
      </w:divBdr>
    </w:div>
    <w:div w:id="1425611122">
      <w:bodyDiv w:val="1"/>
      <w:marLeft w:val="0"/>
      <w:marRight w:val="0"/>
      <w:marTop w:val="0"/>
      <w:marBottom w:val="0"/>
      <w:divBdr>
        <w:top w:val="none" w:sz="0" w:space="0" w:color="auto"/>
        <w:left w:val="none" w:sz="0" w:space="0" w:color="auto"/>
        <w:bottom w:val="none" w:sz="0" w:space="0" w:color="auto"/>
        <w:right w:val="none" w:sz="0" w:space="0" w:color="auto"/>
      </w:divBdr>
    </w:div>
    <w:div w:id="1486437718">
      <w:bodyDiv w:val="1"/>
      <w:marLeft w:val="0"/>
      <w:marRight w:val="0"/>
      <w:marTop w:val="0"/>
      <w:marBottom w:val="0"/>
      <w:divBdr>
        <w:top w:val="none" w:sz="0" w:space="0" w:color="auto"/>
        <w:left w:val="none" w:sz="0" w:space="0" w:color="auto"/>
        <w:bottom w:val="none" w:sz="0" w:space="0" w:color="auto"/>
        <w:right w:val="none" w:sz="0" w:space="0" w:color="auto"/>
      </w:divBdr>
    </w:div>
    <w:div w:id="1550337198">
      <w:bodyDiv w:val="1"/>
      <w:marLeft w:val="0"/>
      <w:marRight w:val="0"/>
      <w:marTop w:val="0"/>
      <w:marBottom w:val="0"/>
      <w:divBdr>
        <w:top w:val="none" w:sz="0" w:space="0" w:color="auto"/>
        <w:left w:val="none" w:sz="0" w:space="0" w:color="auto"/>
        <w:bottom w:val="none" w:sz="0" w:space="0" w:color="auto"/>
        <w:right w:val="none" w:sz="0" w:space="0" w:color="auto"/>
      </w:divBdr>
    </w:div>
    <w:div w:id="1594825012">
      <w:bodyDiv w:val="1"/>
      <w:marLeft w:val="0"/>
      <w:marRight w:val="0"/>
      <w:marTop w:val="0"/>
      <w:marBottom w:val="0"/>
      <w:divBdr>
        <w:top w:val="none" w:sz="0" w:space="0" w:color="auto"/>
        <w:left w:val="none" w:sz="0" w:space="0" w:color="auto"/>
        <w:bottom w:val="none" w:sz="0" w:space="0" w:color="auto"/>
        <w:right w:val="none" w:sz="0" w:space="0" w:color="auto"/>
      </w:divBdr>
    </w:div>
    <w:div w:id="1620993421">
      <w:bodyDiv w:val="1"/>
      <w:marLeft w:val="0"/>
      <w:marRight w:val="0"/>
      <w:marTop w:val="0"/>
      <w:marBottom w:val="0"/>
      <w:divBdr>
        <w:top w:val="none" w:sz="0" w:space="0" w:color="auto"/>
        <w:left w:val="none" w:sz="0" w:space="0" w:color="auto"/>
        <w:bottom w:val="none" w:sz="0" w:space="0" w:color="auto"/>
        <w:right w:val="none" w:sz="0" w:space="0" w:color="auto"/>
      </w:divBdr>
    </w:div>
    <w:div w:id="1651247429">
      <w:bodyDiv w:val="1"/>
      <w:marLeft w:val="0"/>
      <w:marRight w:val="0"/>
      <w:marTop w:val="0"/>
      <w:marBottom w:val="0"/>
      <w:divBdr>
        <w:top w:val="none" w:sz="0" w:space="0" w:color="auto"/>
        <w:left w:val="none" w:sz="0" w:space="0" w:color="auto"/>
        <w:bottom w:val="none" w:sz="0" w:space="0" w:color="auto"/>
        <w:right w:val="none" w:sz="0" w:space="0" w:color="auto"/>
      </w:divBdr>
    </w:div>
    <w:div w:id="1666082617">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sChild>
        <w:div w:id="390156491">
          <w:marLeft w:val="0"/>
          <w:marRight w:val="0"/>
          <w:marTop w:val="0"/>
          <w:marBottom w:val="0"/>
          <w:divBdr>
            <w:top w:val="none" w:sz="0" w:space="0" w:color="auto"/>
            <w:left w:val="none" w:sz="0" w:space="0" w:color="auto"/>
            <w:bottom w:val="none" w:sz="0" w:space="0" w:color="auto"/>
            <w:right w:val="none" w:sz="0" w:space="0" w:color="auto"/>
          </w:divBdr>
          <w:divsChild>
            <w:div w:id="1658803056">
              <w:marLeft w:val="0"/>
              <w:marRight w:val="0"/>
              <w:marTop w:val="0"/>
              <w:marBottom w:val="0"/>
              <w:divBdr>
                <w:top w:val="none" w:sz="0" w:space="0" w:color="auto"/>
                <w:left w:val="none" w:sz="0" w:space="0" w:color="auto"/>
                <w:bottom w:val="none" w:sz="0" w:space="0" w:color="auto"/>
                <w:right w:val="none" w:sz="0" w:space="0" w:color="auto"/>
              </w:divBdr>
              <w:divsChild>
                <w:div w:id="855734196">
                  <w:marLeft w:val="0"/>
                  <w:marRight w:val="0"/>
                  <w:marTop w:val="0"/>
                  <w:marBottom w:val="0"/>
                  <w:divBdr>
                    <w:top w:val="none" w:sz="0" w:space="0" w:color="auto"/>
                    <w:left w:val="none" w:sz="0" w:space="0" w:color="auto"/>
                    <w:bottom w:val="none" w:sz="0" w:space="0" w:color="auto"/>
                    <w:right w:val="none" w:sz="0" w:space="0" w:color="auto"/>
                  </w:divBdr>
                  <w:divsChild>
                    <w:div w:id="801193583">
                      <w:marLeft w:val="0"/>
                      <w:marRight w:val="0"/>
                      <w:marTop w:val="0"/>
                      <w:marBottom w:val="0"/>
                      <w:divBdr>
                        <w:top w:val="none" w:sz="0" w:space="0" w:color="auto"/>
                        <w:left w:val="none" w:sz="0" w:space="0" w:color="auto"/>
                        <w:bottom w:val="none" w:sz="0" w:space="0" w:color="auto"/>
                        <w:right w:val="none" w:sz="0" w:space="0" w:color="auto"/>
                      </w:divBdr>
                      <w:divsChild>
                        <w:div w:id="1711802770">
                          <w:marLeft w:val="0"/>
                          <w:marRight w:val="0"/>
                          <w:marTop w:val="0"/>
                          <w:marBottom w:val="0"/>
                          <w:divBdr>
                            <w:top w:val="none" w:sz="0" w:space="0" w:color="auto"/>
                            <w:left w:val="none" w:sz="0" w:space="0" w:color="auto"/>
                            <w:bottom w:val="none" w:sz="0" w:space="0" w:color="auto"/>
                            <w:right w:val="none" w:sz="0" w:space="0" w:color="auto"/>
                          </w:divBdr>
                          <w:divsChild>
                            <w:div w:id="1726100913">
                              <w:marLeft w:val="-240"/>
                              <w:marRight w:val="-120"/>
                              <w:marTop w:val="0"/>
                              <w:marBottom w:val="0"/>
                              <w:divBdr>
                                <w:top w:val="none" w:sz="0" w:space="0" w:color="auto"/>
                                <w:left w:val="none" w:sz="0" w:space="0" w:color="auto"/>
                                <w:bottom w:val="none" w:sz="0" w:space="0" w:color="auto"/>
                                <w:right w:val="none" w:sz="0" w:space="0" w:color="auto"/>
                              </w:divBdr>
                              <w:divsChild>
                                <w:div w:id="890266073">
                                  <w:marLeft w:val="0"/>
                                  <w:marRight w:val="0"/>
                                  <w:marTop w:val="0"/>
                                  <w:marBottom w:val="60"/>
                                  <w:divBdr>
                                    <w:top w:val="none" w:sz="0" w:space="0" w:color="auto"/>
                                    <w:left w:val="none" w:sz="0" w:space="0" w:color="auto"/>
                                    <w:bottom w:val="none" w:sz="0" w:space="0" w:color="auto"/>
                                    <w:right w:val="none" w:sz="0" w:space="0" w:color="auto"/>
                                  </w:divBdr>
                                  <w:divsChild>
                                    <w:div w:id="293566877">
                                      <w:marLeft w:val="0"/>
                                      <w:marRight w:val="0"/>
                                      <w:marTop w:val="0"/>
                                      <w:marBottom w:val="0"/>
                                      <w:divBdr>
                                        <w:top w:val="none" w:sz="0" w:space="0" w:color="auto"/>
                                        <w:left w:val="none" w:sz="0" w:space="0" w:color="auto"/>
                                        <w:bottom w:val="none" w:sz="0" w:space="0" w:color="auto"/>
                                        <w:right w:val="none" w:sz="0" w:space="0" w:color="auto"/>
                                      </w:divBdr>
                                      <w:divsChild>
                                        <w:div w:id="276258132">
                                          <w:marLeft w:val="0"/>
                                          <w:marRight w:val="0"/>
                                          <w:marTop w:val="0"/>
                                          <w:marBottom w:val="0"/>
                                          <w:divBdr>
                                            <w:top w:val="none" w:sz="0" w:space="0" w:color="auto"/>
                                            <w:left w:val="none" w:sz="0" w:space="0" w:color="auto"/>
                                            <w:bottom w:val="none" w:sz="0" w:space="0" w:color="auto"/>
                                            <w:right w:val="none" w:sz="0" w:space="0" w:color="auto"/>
                                          </w:divBdr>
                                          <w:divsChild>
                                            <w:div w:id="955910769">
                                              <w:marLeft w:val="0"/>
                                              <w:marRight w:val="0"/>
                                              <w:marTop w:val="0"/>
                                              <w:marBottom w:val="0"/>
                                              <w:divBdr>
                                                <w:top w:val="none" w:sz="0" w:space="0" w:color="auto"/>
                                                <w:left w:val="none" w:sz="0" w:space="0" w:color="auto"/>
                                                <w:bottom w:val="none" w:sz="0" w:space="0" w:color="auto"/>
                                                <w:right w:val="none" w:sz="0" w:space="0" w:color="auto"/>
                                              </w:divBdr>
                                              <w:divsChild>
                                                <w:div w:id="994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601679">
          <w:marLeft w:val="0"/>
          <w:marRight w:val="0"/>
          <w:marTop w:val="0"/>
          <w:marBottom w:val="0"/>
          <w:divBdr>
            <w:top w:val="none" w:sz="0" w:space="0" w:color="auto"/>
            <w:left w:val="none" w:sz="0" w:space="0" w:color="auto"/>
            <w:bottom w:val="none" w:sz="0" w:space="0" w:color="auto"/>
            <w:right w:val="none" w:sz="0" w:space="0" w:color="auto"/>
          </w:divBdr>
          <w:divsChild>
            <w:div w:id="1711342800">
              <w:marLeft w:val="0"/>
              <w:marRight w:val="0"/>
              <w:marTop w:val="0"/>
              <w:marBottom w:val="0"/>
              <w:divBdr>
                <w:top w:val="none" w:sz="0" w:space="0" w:color="auto"/>
                <w:left w:val="none" w:sz="0" w:space="0" w:color="auto"/>
                <w:bottom w:val="none" w:sz="0" w:space="0" w:color="auto"/>
                <w:right w:val="none" w:sz="0" w:space="0" w:color="auto"/>
              </w:divBdr>
              <w:divsChild>
                <w:div w:id="544560163">
                  <w:marLeft w:val="0"/>
                  <w:marRight w:val="0"/>
                  <w:marTop w:val="0"/>
                  <w:marBottom w:val="0"/>
                  <w:divBdr>
                    <w:top w:val="none" w:sz="0" w:space="0" w:color="auto"/>
                    <w:left w:val="none" w:sz="0" w:space="0" w:color="auto"/>
                    <w:bottom w:val="none" w:sz="0" w:space="0" w:color="auto"/>
                    <w:right w:val="none" w:sz="0" w:space="0" w:color="auto"/>
                  </w:divBdr>
                  <w:divsChild>
                    <w:div w:id="1929146643">
                      <w:marLeft w:val="0"/>
                      <w:marRight w:val="0"/>
                      <w:marTop w:val="0"/>
                      <w:marBottom w:val="0"/>
                      <w:divBdr>
                        <w:top w:val="none" w:sz="0" w:space="0" w:color="auto"/>
                        <w:left w:val="none" w:sz="0" w:space="0" w:color="auto"/>
                        <w:bottom w:val="none" w:sz="0" w:space="0" w:color="auto"/>
                        <w:right w:val="none" w:sz="0" w:space="0" w:color="auto"/>
                      </w:divBdr>
                      <w:divsChild>
                        <w:div w:id="977952728">
                          <w:marLeft w:val="0"/>
                          <w:marRight w:val="0"/>
                          <w:marTop w:val="0"/>
                          <w:marBottom w:val="0"/>
                          <w:divBdr>
                            <w:top w:val="none" w:sz="0" w:space="0" w:color="auto"/>
                            <w:left w:val="none" w:sz="0" w:space="0" w:color="auto"/>
                            <w:bottom w:val="none" w:sz="0" w:space="0" w:color="auto"/>
                            <w:right w:val="none" w:sz="0" w:space="0" w:color="auto"/>
                          </w:divBdr>
                          <w:divsChild>
                            <w:div w:id="597446983">
                              <w:marLeft w:val="-240"/>
                              <w:marRight w:val="-120"/>
                              <w:marTop w:val="0"/>
                              <w:marBottom w:val="0"/>
                              <w:divBdr>
                                <w:top w:val="none" w:sz="0" w:space="0" w:color="auto"/>
                                <w:left w:val="none" w:sz="0" w:space="0" w:color="auto"/>
                                <w:bottom w:val="none" w:sz="0" w:space="0" w:color="auto"/>
                                <w:right w:val="none" w:sz="0" w:space="0" w:color="auto"/>
                              </w:divBdr>
                              <w:divsChild>
                                <w:div w:id="1093433193">
                                  <w:marLeft w:val="0"/>
                                  <w:marRight w:val="0"/>
                                  <w:marTop w:val="0"/>
                                  <w:marBottom w:val="60"/>
                                  <w:divBdr>
                                    <w:top w:val="none" w:sz="0" w:space="0" w:color="auto"/>
                                    <w:left w:val="none" w:sz="0" w:space="0" w:color="auto"/>
                                    <w:bottom w:val="none" w:sz="0" w:space="0" w:color="auto"/>
                                    <w:right w:val="none" w:sz="0" w:space="0" w:color="auto"/>
                                  </w:divBdr>
                                  <w:divsChild>
                                    <w:div w:id="1112045118">
                                      <w:marLeft w:val="0"/>
                                      <w:marRight w:val="0"/>
                                      <w:marTop w:val="0"/>
                                      <w:marBottom w:val="0"/>
                                      <w:divBdr>
                                        <w:top w:val="none" w:sz="0" w:space="0" w:color="auto"/>
                                        <w:left w:val="none" w:sz="0" w:space="0" w:color="auto"/>
                                        <w:bottom w:val="none" w:sz="0" w:space="0" w:color="auto"/>
                                        <w:right w:val="none" w:sz="0" w:space="0" w:color="auto"/>
                                      </w:divBdr>
                                      <w:divsChild>
                                        <w:div w:id="1025525446">
                                          <w:marLeft w:val="0"/>
                                          <w:marRight w:val="0"/>
                                          <w:marTop w:val="0"/>
                                          <w:marBottom w:val="0"/>
                                          <w:divBdr>
                                            <w:top w:val="none" w:sz="0" w:space="0" w:color="auto"/>
                                            <w:left w:val="none" w:sz="0" w:space="0" w:color="auto"/>
                                            <w:bottom w:val="none" w:sz="0" w:space="0" w:color="auto"/>
                                            <w:right w:val="none" w:sz="0" w:space="0" w:color="auto"/>
                                          </w:divBdr>
                                          <w:divsChild>
                                            <w:div w:id="334698225">
                                              <w:marLeft w:val="0"/>
                                              <w:marRight w:val="0"/>
                                              <w:marTop w:val="0"/>
                                              <w:marBottom w:val="0"/>
                                              <w:divBdr>
                                                <w:top w:val="none" w:sz="0" w:space="0" w:color="auto"/>
                                                <w:left w:val="none" w:sz="0" w:space="0" w:color="auto"/>
                                                <w:bottom w:val="none" w:sz="0" w:space="0" w:color="auto"/>
                                                <w:right w:val="none" w:sz="0" w:space="0" w:color="auto"/>
                                              </w:divBdr>
                                              <w:divsChild>
                                                <w:div w:id="2542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571895">
                              <w:marLeft w:val="0"/>
                              <w:marRight w:val="120"/>
                              <w:marTop w:val="0"/>
                              <w:marBottom w:val="0"/>
                              <w:divBdr>
                                <w:top w:val="none" w:sz="0" w:space="0" w:color="auto"/>
                                <w:left w:val="none" w:sz="0" w:space="0" w:color="auto"/>
                                <w:bottom w:val="none" w:sz="0" w:space="0" w:color="auto"/>
                                <w:right w:val="none" w:sz="0" w:space="0" w:color="auto"/>
                              </w:divBdr>
                              <w:divsChild>
                                <w:div w:id="3565461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26511">
          <w:marLeft w:val="0"/>
          <w:marRight w:val="0"/>
          <w:marTop w:val="0"/>
          <w:marBottom w:val="0"/>
          <w:divBdr>
            <w:top w:val="none" w:sz="0" w:space="0" w:color="auto"/>
            <w:left w:val="none" w:sz="0" w:space="0" w:color="auto"/>
            <w:bottom w:val="none" w:sz="0" w:space="0" w:color="auto"/>
            <w:right w:val="none" w:sz="0" w:space="0" w:color="auto"/>
          </w:divBdr>
          <w:divsChild>
            <w:div w:id="1497377932">
              <w:marLeft w:val="0"/>
              <w:marRight w:val="0"/>
              <w:marTop w:val="0"/>
              <w:marBottom w:val="0"/>
              <w:divBdr>
                <w:top w:val="none" w:sz="0" w:space="0" w:color="auto"/>
                <w:left w:val="none" w:sz="0" w:space="0" w:color="auto"/>
                <w:bottom w:val="none" w:sz="0" w:space="0" w:color="auto"/>
                <w:right w:val="none" w:sz="0" w:space="0" w:color="auto"/>
              </w:divBdr>
              <w:divsChild>
                <w:div w:id="1102453060">
                  <w:marLeft w:val="0"/>
                  <w:marRight w:val="0"/>
                  <w:marTop w:val="0"/>
                  <w:marBottom w:val="0"/>
                  <w:divBdr>
                    <w:top w:val="none" w:sz="0" w:space="0" w:color="auto"/>
                    <w:left w:val="none" w:sz="0" w:space="0" w:color="auto"/>
                    <w:bottom w:val="none" w:sz="0" w:space="0" w:color="auto"/>
                    <w:right w:val="none" w:sz="0" w:space="0" w:color="auto"/>
                  </w:divBdr>
                  <w:divsChild>
                    <w:div w:id="2074967551">
                      <w:marLeft w:val="0"/>
                      <w:marRight w:val="0"/>
                      <w:marTop w:val="0"/>
                      <w:marBottom w:val="0"/>
                      <w:divBdr>
                        <w:top w:val="none" w:sz="0" w:space="0" w:color="auto"/>
                        <w:left w:val="none" w:sz="0" w:space="0" w:color="auto"/>
                        <w:bottom w:val="none" w:sz="0" w:space="0" w:color="auto"/>
                        <w:right w:val="none" w:sz="0" w:space="0" w:color="auto"/>
                      </w:divBdr>
                      <w:divsChild>
                        <w:div w:id="496113529">
                          <w:marLeft w:val="0"/>
                          <w:marRight w:val="0"/>
                          <w:marTop w:val="0"/>
                          <w:marBottom w:val="0"/>
                          <w:divBdr>
                            <w:top w:val="none" w:sz="0" w:space="0" w:color="auto"/>
                            <w:left w:val="none" w:sz="0" w:space="0" w:color="auto"/>
                            <w:bottom w:val="none" w:sz="0" w:space="0" w:color="auto"/>
                            <w:right w:val="none" w:sz="0" w:space="0" w:color="auto"/>
                          </w:divBdr>
                          <w:divsChild>
                            <w:div w:id="1614509849">
                              <w:marLeft w:val="-240"/>
                              <w:marRight w:val="-120"/>
                              <w:marTop w:val="0"/>
                              <w:marBottom w:val="0"/>
                              <w:divBdr>
                                <w:top w:val="none" w:sz="0" w:space="0" w:color="auto"/>
                                <w:left w:val="none" w:sz="0" w:space="0" w:color="auto"/>
                                <w:bottom w:val="none" w:sz="0" w:space="0" w:color="auto"/>
                                <w:right w:val="none" w:sz="0" w:space="0" w:color="auto"/>
                              </w:divBdr>
                              <w:divsChild>
                                <w:div w:id="1385329444">
                                  <w:marLeft w:val="0"/>
                                  <w:marRight w:val="0"/>
                                  <w:marTop w:val="0"/>
                                  <w:marBottom w:val="60"/>
                                  <w:divBdr>
                                    <w:top w:val="none" w:sz="0" w:space="0" w:color="auto"/>
                                    <w:left w:val="none" w:sz="0" w:space="0" w:color="auto"/>
                                    <w:bottom w:val="none" w:sz="0" w:space="0" w:color="auto"/>
                                    <w:right w:val="none" w:sz="0" w:space="0" w:color="auto"/>
                                  </w:divBdr>
                                  <w:divsChild>
                                    <w:div w:id="99692002">
                                      <w:marLeft w:val="0"/>
                                      <w:marRight w:val="0"/>
                                      <w:marTop w:val="0"/>
                                      <w:marBottom w:val="0"/>
                                      <w:divBdr>
                                        <w:top w:val="none" w:sz="0" w:space="0" w:color="auto"/>
                                        <w:left w:val="none" w:sz="0" w:space="0" w:color="auto"/>
                                        <w:bottom w:val="none" w:sz="0" w:space="0" w:color="auto"/>
                                        <w:right w:val="none" w:sz="0" w:space="0" w:color="auto"/>
                                      </w:divBdr>
                                      <w:divsChild>
                                        <w:div w:id="1377123512">
                                          <w:marLeft w:val="0"/>
                                          <w:marRight w:val="0"/>
                                          <w:marTop w:val="0"/>
                                          <w:marBottom w:val="0"/>
                                          <w:divBdr>
                                            <w:top w:val="none" w:sz="0" w:space="0" w:color="auto"/>
                                            <w:left w:val="none" w:sz="0" w:space="0" w:color="auto"/>
                                            <w:bottom w:val="none" w:sz="0" w:space="0" w:color="auto"/>
                                            <w:right w:val="none" w:sz="0" w:space="0" w:color="auto"/>
                                          </w:divBdr>
                                          <w:divsChild>
                                            <w:div w:id="164561972">
                                              <w:marLeft w:val="0"/>
                                              <w:marRight w:val="0"/>
                                              <w:marTop w:val="0"/>
                                              <w:marBottom w:val="0"/>
                                              <w:divBdr>
                                                <w:top w:val="none" w:sz="0" w:space="0" w:color="auto"/>
                                                <w:left w:val="none" w:sz="0" w:space="0" w:color="auto"/>
                                                <w:bottom w:val="none" w:sz="0" w:space="0" w:color="auto"/>
                                                <w:right w:val="none" w:sz="0" w:space="0" w:color="auto"/>
                                              </w:divBdr>
                                              <w:divsChild>
                                                <w:div w:id="6838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335454">
                              <w:marLeft w:val="0"/>
                              <w:marRight w:val="120"/>
                              <w:marTop w:val="0"/>
                              <w:marBottom w:val="0"/>
                              <w:divBdr>
                                <w:top w:val="none" w:sz="0" w:space="0" w:color="auto"/>
                                <w:left w:val="none" w:sz="0" w:space="0" w:color="auto"/>
                                <w:bottom w:val="none" w:sz="0" w:space="0" w:color="auto"/>
                                <w:right w:val="none" w:sz="0" w:space="0" w:color="auto"/>
                              </w:divBdr>
                              <w:divsChild>
                                <w:div w:id="27841858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545628">
      <w:bodyDiv w:val="1"/>
      <w:marLeft w:val="0"/>
      <w:marRight w:val="0"/>
      <w:marTop w:val="0"/>
      <w:marBottom w:val="0"/>
      <w:divBdr>
        <w:top w:val="none" w:sz="0" w:space="0" w:color="auto"/>
        <w:left w:val="none" w:sz="0" w:space="0" w:color="auto"/>
        <w:bottom w:val="none" w:sz="0" w:space="0" w:color="auto"/>
        <w:right w:val="none" w:sz="0" w:space="0" w:color="auto"/>
      </w:divBdr>
    </w:div>
    <w:div w:id="1789205171">
      <w:bodyDiv w:val="1"/>
      <w:marLeft w:val="0"/>
      <w:marRight w:val="0"/>
      <w:marTop w:val="0"/>
      <w:marBottom w:val="0"/>
      <w:divBdr>
        <w:top w:val="none" w:sz="0" w:space="0" w:color="auto"/>
        <w:left w:val="none" w:sz="0" w:space="0" w:color="auto"/>
        <w:bottom w:val="none" w:sz="0" w:space="0" w:color="auto"/>
        <w:right w:val="none" w:sz="0" w:space="0" w:color="auto"/>
      </w:divBdr>
    </w:div>
    <w:div w:id="1792747795">
      <w:bodyDiv w:val="1"/>
      <w:marLeft w:val="0"/>
      <w:marRight w:val="0"/>
      <w:marTop w:val="0"/>
      <w:marBottom w:val="0"/>
      <w:divBdr>
        <w:top w:val="none" w:sz="0" w:space="0" w:color="auto"/>
        <w:left w:val="none" w:sz="0" w:space="0" w:color="auto"/>
        <w:bottom w:val="none" w:sz="0" w:space="0" w:color="auto"/>
        <w:right w:val="none" w:sz="0" w:space="0" w:color="auto"/>
      </w:divBdr>
    </w:div>
    <w:div w:id="1795951362">
      <w:bodyDiv w:val="1"/>
      <w:marLeft w:val="0"/>
      <w:marRight w:val="0"/>
      <w:marTop w:val="0"/>
      <w:marBottom w:val="0"/>
      <w:divBdr>
        <w:top w:val="none" w:sz="0" w:space="0" w:color="auto"/>
        <w:left w:val="none" w:sz="0" w:space="0" w:color="auto"/>
        <w:bottom w:val="none" w:sz="0" w:space="0" w:color="auto"/>
        <w:right w:val="none" w:sz="0" w:space="0" w:color="auto"/>
      </w:divBdr>
    </w:div>
    <w:div w:id="1796021557">
      <w:bodyDiv w:val="1"/>
      <w:marLeft w:val="0"/>
      <w:marRight w:val="0"/>
      <w:marTop w:val="0"/>
      <w:marBottom w:val="0"/>
      <w:divBdr>
        <w:top w:val="none" w:sz="0" w:space="0" w:color="auto"/>
        <w:left w:val="none" w:sz="0" w:space="0" w:color="auto"/>
        <w:bottom w:val="none" w:sz="0" w:space="0" w:color="auto"/>
        <w:right w:val="none" w:sz="0" w:space="0" w:color="auto"/>
      </w:divBdr>
    </w:div>
    <w:div w:id="1866166646">
      <w:bodyDiv w:val="1"/>
      <w:marLeft w:val="0"/>
      <w:marRight w:val="0"/>
      <w:marTop w:val="0"/>
      <w:marBottom w:val="0"/>
      <w:divBdr>
        <w:top w:val="none" w:sz="0" w:space="0" w:color="auto"/>
        <w:left w:val="none" w:sz="0" w:space="0" w:color="auto"/>
        <w:bottom w:val="none" w:sz="0" w:space="0" w:color="auto"/>
        <w:right w:val="none" w:sz="0" w:space="0" w:color="auto"/>
      </w:divBdr>
    </w:div>
    <w:div w:id="1912082267">
      <w:bodyDiv w:val="1"/>
      <w:marLeft w:val="0"/>
      <w:marRight w:val="0"/>
      <w:marTop w:val="0"/>
      <w:marBottom w:val="0"/>
      <w:divBdr>
        <w:top w:val="none" w:sz="0" w:space="0" w:color="auto"/>
        <w:left w:val="none" w:sz="0" w:space="0" w:color="auto"/>
        <w:bottom w:val="none" w:sz="0" w:space="0" w:color="auto"/>
        <w:right w:val="none" w:sz="0" w:space="0" w:color="auto"/>
      </w:divBdr>
    </w:div>
    <w:div w:id="1927837145">
      <w:bodyDiv w:val="1"/>
      <w:marLeft w:val="0"/>
      <w:marRight w:val="0"/>
      <w:marTop w:val="0"/>
      <w:marBottom w:val="0"/>
      <w:divBdr>
        <w:top w:val="none" w:sz="0" w:space="0" w:color="auto"/>
        <w:left w:val="none" w:sz="0" w:space="0" w:color="auto"/>
        <w:bottom w:val="none" w:sz="0" w:space="0" w:color="auto"/>
        <w:right w:val="none" w:sz="0" w:space="0" w:color="auto"/>
      </w:divBdr>
    </w:div>
    <w:div w:id="1995134040">
      <w:bodyDiv w:val="1"/>
      <w:marLeft w:val="0"/>
      <w:marRight w:val="0"/>
      <w:marTop w:val="0"/>
      <w:marBottom w:val="0"/>
      <w:divBdr>
        <w:top w:val="none" w:sz="0" w:space="0" w:color="auto"/>
        <w:left w:val="none" w:sz="0" w:space="0" w:color="auto"/>
        <w:bottom w:val="none" w:sz="0" w:space="0" w:color="auto"/>
        <w:right w:val="none" w:sz="0" w:space="0" w:color="auto"/>
      </w:divBdr>
    </w:div>
    <w:div w:id="2030376159">
      <w:bodyDiv w:val="1"/>
      <w:marLeft w:val="0"/>
      <w:marRight w:val="0"/>
      <w:marTop w:val="0"/>
      <w:marBottom w:val="0"/>
      <w:divBdr>
        <w:top w:val="none" w:sz="0" w:space="0" w:color="auto"/>
        <w:left w:val="none" w:sz="0" w:space="0" w:color="auto"/>
        <w:bottom w:val="none" w:sz="0" w:space="0" w:color="auto"/>
        <w:right w:val="none" w:sz="0" w:space="0" w:color="auto"/>
      </w:divBdr>
    </w:div>
    <w:div w:id="21094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20Dedman\Downloads\BOP%20Report%20template%20(4).dotx" TargetMode="External"/></Relationships>
</file>

<file path=word/theme/theme1.xml><?xml version="1.0" encoding="utf-8"?>
<a:theme xmlns:a="http://schemas.openxmlformats.org/drawingml/2006/main" name="Office Theme">
  <a:themeElements>
    <a:clrScheme name="BOP">
      <a:dk1>
        <a:sysClr val="windowText" lastClr="000000"/>
      </a:dk1>
      <a:lt1>
        <a:sysClr val="window" lastClr="FFFFFF"/>
      </a:lt1>
      <a:dk2>
        <a:srgbClr val="1F497D"/>
      </a:dk2>
      <a:lt2>
        <a:srgbClr val="EEECE1"/>
      </a:lt2>
      <a:accent1>
        <a:srgbClr val="3C5896"/>
      </a:accent1>
      <a:accent2>
        <a:srgbClr val="50555A"/>
      </a:accent2>
      <a:accent3>
        <a:srgbClr val="A0A0A0"/>
      </a:accent3>
      <a:accent4>
        <a:srgbClr val="E6E6E6"/>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2" ma:contentTypeDescription="Create a new document." ma:contentTypeScope="" ma:versionID="5e9f94b0c0748df8f694200a5baaf021">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71034db76edf9dfd97443f9eba1e3c53"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83A81-2C4F-4A3E-BB0F-BE6D7F86A31A}">
  <ds:schemaRefs>
    <ds:schemaRef ds:uri="http://schemas.microsoft.com/office/2006/documentManagement/types"/>
    <ds:schemaRef ds:uri="94eef491-5db2-4f1d-a907-8b3eaf57ebec"/>
    <ds:schemaRef ds:uri="http://purl.org/dc/dcmitype/"/>
    <ds:schemaRef ds:uri="http://schemas.microsoft.com/office/2006/metadata/properties"/>
    <ds:schemaRef ds:uri="http://schemas.microsoft.com/sharepoint/v3"/>
    <ds:schemaRef ds:uri="http://purl.org/dc/terms/"/>
    <ds:schemaRef ds:uri="7b82c7ca-e553-49be-aade-a6a9856f2fdc"/>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77E975D-8AAB-4E2B-83D2-46AAD00BDC1E}">
  <ds:schemaRefs>
    <ds:schemaRef ds:uri="http://schemas.openxmlformats.org/officeDocument/2006/bibliography"/>
  </ds:schemaRefs>
</ds:datastoreItem>
</file>

<file path=customXml/itemProps3.xml><?xml version="1.0" encoding="utf-8"?>
<ds:datastoreItem xmlns:ds="http://schemas.openxmlformats.org/officeDocument/2006/customXml" ds:itemID="{1F2E35A7-3C32-49BC-8832-50C729714A79}">
  <ds:schemaRefs>
    <ds:schemaRef ds:uri="http://schemas.microsoft.com/sharepoint/v3/contenttype/forms"/>
  </ds:schemaRefs>
</ds:datastoreItem>
</file>

<file path=customXml/itemProps4.xml><?xml version="1.0" encoding="utf-8"?>
<ds:datastoreItem xmlns:ds="http://schemas.openxmlformats.org/officeDocument/2006/customXml" ds:itemID="{86B87913-FBAF-4C0E-B9AE-80E3225027E6}"/>
</file>

<file path=docProps/app.xml><?xml version="1.0" encoding="utf-8"?>
<Properties xmlns="http://schemas.openxmlformats.org/officeDocument/2006/extended-properties" xmlns:vt="http://schemas.openxmlformats.org/officeDocument/2006/docPropsVTypes">
  <Template>BOP Report template (4)</Template>
  <TotalTime>7</TotalTime>
  <Pages>48</Pages>
  <Words>16320</Words>
  <Characters>93029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&lt;Title&gt;</vt:lpstr>
    </vt:vector>
  </TitlesOfParts>
  <Company>CDEV Computing</Company>
  <LinksUpToDate>false</LinksUpToDate>
  <CharactersWithSpaces>109131</CharactersWithSpaces>
  <SharedDoc>false</SharedDoc>
  <HLinks>
    <vt:vector size="282" baseType="variant">
      <vt:variant>
        <vt:i4>1310771</vt:i4>
      </vt:variant>
      <vt:variant>
        <vt:i4>251</vt:i4>
      </vt:variant>
      <vt:variant>
        <vt:i4>0</vt:i4>
      </vt:variant>
      <vt:variant>
        <vt:i4>5</vt:i4>
      </vt:variant>
      <vt:variant>
        <vt:lpwstr/>
      </vt:variant>
      <vt:variant>
        <vt:lpwstr>_Toc41889268</vt:lpwstr>
      </vt:variant>
      <vt:variant>
        <vt:i4>1769523</vt:i4>
      </vt:variant>
      <vt:variant>
        <vt:i4>245</vt:i4>
      </vt:variant>
      <vt:variant>
        <vt:i4>0</vt:i4>
      </vt:variant>
      <vt:variant>
        <vt:i4>5</vt:i4>
      </vt:variant>
      <vt:variant>
        <vt:lpwstr/>
      </vt:variant>
      <vt:variant>
        <vt:lpwstr>_Toc41889267</vt:lpwstr>
      </vt:variant>
      <vt:variant>
        <vt:i4>1703987</vt:i4>
      </vt:variant>
      <vt:variant>
        <vt:i4>239</vt:i4>
      </vt:variant>
      <vt:variant>
        <vt:i4>0</vt:i4>
      </vt:variant>
      <vt:variant>
        <vt:i4>5</vt:i4>
      </vt:variant>
      <vt:variant>
        <vt:lpwstr/>
      </vt:variant>
      <vt:variant>
        <vt:lpwstr>_Toc41889266</vt:lpwstr>
      </vt:variant>
      <vt:variant>
        <vt:i4>1638451</vt:i4>
      </vt:variant>
      <vt:variant>
        <vt:i4>233</vt:i4>
      </vt:variant>
      <vt:variant>
        <vt:i4>0</vt:i4>
      </vt:variant>
      <vt:variant>
        <vt:i4>5</vt:i4>
      </vt:variant>
      <vt:variant>
        <vt:lpwstr/>
      </vt:variant>
      <vt:variant>
        <vt:lpwstr>_Toc41889265</vt:lpwstr>
      </vt:variant>
      <vt:variant>
        <vt:i4>1572915</vt:i4>
      </vt:variant>
      <vt:variant>
        <vt:i4>227</vt:i4>
      </vt:variant>
      <vt:variant>
        <vt:i4>0</vt:i4>
      </vt:variant>
      <vt:variant>
        <vt:i4>5</vt:i4>
      </vt:variant>
      <vt:variant>
        <vt:lpwstr/>
      </vt:variant>
      <vt:variant>
        <vt:lpwstr>_Toc41889264</vt:lpwstr>
      </vt:variant>
      <vt:variant>
        <vt:i4>2031667</vt:i4>
      </vt:variant>
      <vt:variant>
        <vt:i4>221</vt:i4>
      </vt:variant>
      <vt:variant>
        <vt:i4>0</vt:i4>
      </vt:variant>
      <vt:variant>
        <vt:i4>5</vt:i4>
      </vt:variant>
      <vt:variant>
        <vt:lpwstr/>
      </vt:variant>
      <vt:variant>
        <vt:lpwstr>_Toc41889263</vt:lpwstr>
      </vt:variant>
      <vt:variant>
        <vt:i4>1966131</vt:i4>
      </vt:variant>
      <vt:variant>
        <vt:i4>215</vt:i4>
      </vt:variant>
      <vt:variant>
        <vt:i4>0</vt:i4>
      </vt:variant>
      <vt:variant>
        <vt:i4>5</vt:i4>
      </vt:variant>
      <vt:variant>
        <vt:lpwstr/>
      </vt:variant>
      <vt:variant>
        <vt:lpwstr>_Toc41889262</vt:lpwstr>
      </vt:variant>
      <vt:variant>
        <vt:i4>1900595</vt:i4>
      </vt:variant>
      <vt:variant>
        <vt:i4>209</vt:i4>
      </vt:variant>
      <vt:variant>
        <vt:i4>0</vt:i4>
      </vt:variant>
      <vt:variant>
        <vt:i4>5</vt:i4>
      </vt:variant>
      <vt:variant>
        <vt:lpwstr/>
      </vt:variant>
      <vt:variant>
        <vt:lpwstr>_Toc41889261</vt:lpwstr>
      </vt:variant>
      <vt:variant>
        <vt:i4>1835059</vt:i4>
      </vt:variant>
      <vt:variant>
        <vt:i4>203</vt:i4>
      </vt:variant>
      <vt:variant>
        <vt:i4>0</vt:i4>
      </vt:variant>
      <vt:variant>
        <vt:i4>5</vt:i4>
      </vt:variant>
      <vt:variant>
        <vt:lpwstr/>
      </vt:variant>
      <vt:variant>
        <vt:lpwstr>_Toc41889260</vt:lpwstr>
      </vt:variant>
      <vt:variant>
        <vt:i4>1376304</vt:i4>
      </vt:variant>
      <vt:variant>
        <vt:i4>197</vt:i4>
      </vt:variant>
      <vt:variant>
        <vt:i4>0</vt:i4>
      </vt:variant>
      <vt:variant>
        <vt:i4>5</vt:i4>
      </vt:variant>
      <vt:variant>
        <vt:lpwstr/>
      </vt:variant>
      <vt:variant>
        <vt:lpwstr>_Toc41889259</vt:lpwstr>
      </vt:variant>
      <vt:variant>
        <vt:i4>1310768</vt:i4>
      </vt:variant>
      <vt:variant>
        <vt:i4>191</vt:i4>
      </vt:variant>
      <vt:variant>
        <vt:i4>0</vt:i4>
      </vt:variant>
      <vt:variant>
        <vt:i4>5</vt:i4>
      </vt:variant>
      <vt:variant>
        <vt:lpwstr/>
      </vt:variant>
      <vt:variant>
        <vt:lpwstr>_Toc41889258</vt:lpwstr>
      </vt:variant>
      <vt:variant>
        <vt:i4>1769520</vt:i4>
      </vt:variant>
      <vt:variant>
        <vt:i4>185</vt:i4>
      </vt:variant>
      <vt:variant>
        <vt:i4>0</vt:i4>
      </vt:variant>
      <vt:variant>
        <vt:i4>5</vt:i4>
      </vt:variant>
      <vt:variant>
        <vt:lpwstr/>
      </vt:variant>
      <vt:variant>
        <vt:lpwstr>_Toc41889257</vt:lpwstr>
      </vt:variant>
      <vt:variant>
        <vt:i4>1703984</vt:i4>
      </vt:variant>
      <vt:variant>
        <vt:i4>179</vt:i4>
      </vt:variant>
      <vt:variant>
        <vt:i4>0</vt:i4>
      </vt:variant>
      <vt:variant>
        <vt:i4>5</vt:i4>
      </vt:variant>
      <vt:variant>
        <vt:lpwstr/>
      </vt:variant>
      <vt:variant>
        <vt:lpwstr>_Toc41889256</vt:lpwstr>
      </vt:variant>
      <vt:variant>
        <vt:i4>1638448</vt:i4>
      </vt:variant>
      <vt:variant>
        <vt:i4>173</vt:i4>
      </vt:variant>
      <vt:variant>
        <vt:i4>0</vt:i4>
      </vt:variant>
      <vt:variant>
        <vt:i4>5</vt:i4>
      </vt:variant>
      <vt:variant>
        <vt:lpwstr/>
      </vt:variant>
      <vt:variant>
        <vt:lpwstr>_Toc41889255</vt:lpwstr>
      </vt:variant>
      <vt:variant>
        <vt:i4>1572912</vt:i4>
      </vt:variant>
      <vt:variant>
        <vt:i4>167</vt:i4>
      </vt:variant>
      <vt:variant>
        <vt:i4>0</vt:i4>
      </vt:variant>
      <vt:variant>
        <vt:i4>5</vt:i4>
      </vt:variant>
      <vt:variant>
        <vt:lpwstr/>
      </vt:variant>
      <vt:variant>
        <vt:lpwstr>_Toc41889254</vt:lpwstr>
      </vt:variant>
      <vt:variant>
        <vt:i4>2031664</vt:i4>
      </vt:variant>
      <vt:variant>
        <vt:i4>161</vt:i4>
      </vt:variant>
      <vt:variant>
        <vt:i4>0</vt:i4>
      </vt:variant>
      <vt:variant>
        <vt:i4>5</vt:i4>
      </vt:variant>
      <vt:variant>
        <vt:lpwstr/>
      </vt:variant>
      <vt:variant>
        <vt:lpwstr>_Toc41889253</vt:lpwstr>
      </vt:variant>
      <vt:variant>
        <vt:i4>1966128</vt:i4>
      </vt:variant>
      <vt:variant>
        <vt:i4>155</vt:i4>
      </vt:variant>
      <vt:variant>
        <vt:i4>0</vt:i4>
      </vt:variant>
      <vt:variant>
        <vt:i4>5</vt:i4>
      </vt:variant>
      <vt:variant>
        <vt:lpwstr/>
      </vt:variant>
      <vt:variant>
        <vt:lpwstr>_Toc41889252</vt:lpwstr>
      </vt:variant>
      <vt:variant>
        <vt:i4>1900592</vt:i4>
      </vt:variant>
      <vt:variant>
        <vt:i4>149</vt:i4>
      </vt:variant>
      <vt:variant>
        <vt:i4>0</vt:i4>
      </vt:variant>
      <vt:variant>
        <vt:i4>5</vt:i4>
      </vt:variant>
      <vt:variant>
        <vt:lpwstr/>
      </vt:variant>
      <vt:variant>
        <vt:lpwstr>_Toc41889251</vt:lpwstr>
      </vt:variant>
      <vt:variant>
        <vt:i4>1835056</vt:i4>
      </vt:variant>
      <vt:variant>
        <vt:i4>143</vt:i4>
      </vt:variant>
      <vt:variant>
        <vt:i4>0</vt:i4>
      </vt:variant>
      <vt:variant>
        <vt:i4>5</vt:i4>
      </vt:variant>
      <vt:variant>
        <vt:lpwstr/>
      </vt:variant>
      <vt:variant>
        <vt:lpwstr>_Toc41889250</vt:lpwstr>
      </vt:variant>
      <vt:variant>
        <vt:i4>1376305</vt:i4>
      </vt:variant>
      <vt:variant>
        <vt:i4>137</vt:i4>
      </vt:variant>
      <vt:variant>
        <vt:i4>0</vt:i4>
      </vt:variant>
      <vt:variant>
        <vt:i4>5</vt:i4>
      </vt:variant>
      <vt:variant>
        <vt:lpwstr/>
      </vt:variant>
      <vt:variant>
        <vt:lpwstr>_Toc41889249</vt:lpwstr>
      </vt:variant>
      <vt:variant>
        <vt:i4>1310769</vt:i4>
      </vt:variant>
      <vt:variant>
        <vt:i4>131</vt:i4>
      </vt:variant>
      <vt:variant>
        <vt:i4>0</vt:i4>
      </vt:variant>
      <vt:variant>
        <vt:i4>5</vt:i4>
      </vt:variant>
      <vt:variant>
        <vt:lpwstr/>
      </vt:variant>
      <vt:variant>
        <vt:lpwstr>_Toc41889248</vt:lpwstr>
      </vt:variant>
      <vt:variant>
        <vt:i4>1769521</vt:i4>
      </vt:variant>
      <vt:variant>
        <vt:i4>125</vt:i4>
      </vt:variant>
      <vt:variant>
        <vt:i4>0</vt:i4>
      </vt:variant>
      <vt:variant>
        <vt:i4>5</vt:i4>
      </vt:variant>
      <vt:variant>
        <vt:lpwstr/>
      </vt:variant>
      <vt:variant>
        <vt:lpwstr>_Toc41889247</vt:lpwstr>
      </vt:variant>
      <vt:variant>
        <vt:i4>1703985</vt:i4>
      </vt:variant>
      <vt:variant>
        <vt:i4>119</vt:i4>
      </vt:variant>
      <vt:variant>
        <vt:i4>0</vt:i4>
      </vt:variant>
      <vt:variant>
        <vt:i4>5</vt:i4>
      </vt:variant>
      <vt:variant>
        <vt:lpwstr/>
      </vt:variant>
      <vt:variant>
        <vt:lpwstr>_Toc41889246</vt:lpwstr>
      </vt:variant>
      <vt:variant>
        <vt:i4>1638449</vt:i4>
      </vt:variant>
      <vt:variant>
        <vt:i4>110</vt:i4>
      </vt:variant>
      <vt:variant>
        <vt:i4>0</vt:i4>
      </vt:variant>
      <vt:variant>
        <vt:i4>5</vt:i4>
      </vt:variant>
      <vt:variant>
        <vt:lpwstr/>
      </vt:variant>
      <vt:variant>
        <vt:lpwstr>_Toc41889245</vt:lpwstr>
      </vt:variant>
      <vt:variant>
        <vt:i4>1572913</vt:i4>
      </vt:variant>
      <vt:variant>
        <vt:i4>104</vt:i4>
      </vt:variant>
      <vt:variant>
        <vt:i4>0</vt:i4>
      </vt:variant>
      <vt:variant>
        <vt:i4>5</vt:i4>
      </vt:variant>
      <vt:variant>
        <vt:lpwstr/>
      </vt:variant>
      <vt:variant>
        <vt:lpwstr>_Toc41889244</vt:lpwstr>
      </vt:variant>
      <vt:variant>
        <vt:i4>2031665</vt:i4>
      </vt:variant>
      <vt:variant>
        <vt:i4>98</vt:i4>
      </vt:variant>
      <vt:variant>
        <vt:i4>0</vt:i4>
      </vt:variant>
      <vt:variant>
        <vt:i4>5</vt:i4>
      </vt:variant>
      <vt:variant>
        <vt:lpwstr/>
      </vt:variant>
      <vt:variant>
        <vt:lpwstr>_Toc41889243</vt:lpwstr>
      </vt:variant>
      <vt:variant>
        <vt:i4>1966129</vt:i4>
      </vt:variant>
      <vt:variant>
        <vt:i4>92</vt:i4>
      </vt:variant>
      <vt:variant>
        <vt:i4>0</vt:i4>
      </vt:variant>
      <vt:variant>
        <vt:i4>5</vt:i4>
      </vt:variant>
      <vt:variant>
        <vt:lpwstr/>
      </vt:variant>
      <vt:variant>
        <vt:lpwstr>_Toc41889242</vt:lpwstr>
      </vt:variant>
      <vt:variant>
        <vt:i4>1900593</vt:i4>
      </vt:variant>
      <vt:variant>
        <vt:i4>86</vt:i4>
      </vt:variant>
      <vt:variant>
        <vt:i4>0</vt:i4>
      </vt:variant>
      <vt:variant>
        <vt:i4>5</vt:i4>
      </vt:variant>
      <vt:variant>
        <vt:lpwstr/>
      </vt:variant>
      <vt:variant>
        <vt:lpwstr>_Toc41889241</vt:lpwstr>
      </vt:variant>
      <vt:variant>
        <vt:i4>1835057</vt:i4>
      </vt:variant>
      <vt:variant>
        <vt:i4>80</vt:i4>
      </vt:variant>
      <vt:variant>
        <vt:i4>0</vt:i4>
      </vt:variant>
      <vt:variant>
        <vt:i4>5</vt:i4>
      </vt:variant>
      <vt:variant>
        <vt:lpwstr/>
      </vt:variant>
      <vt:variant>
        <vt:lpwstr>_Toc41889240</vt:lpwstr>
      </vt:variant>
      <vt:variant>
        <vt:i4>1376310</vt:i4>
      </vt:variant>
      <vt:variant>
        <vt:i4>74</vt:i4>
      </vt:variant>
      <vt:variant>
        <vt:i4>0</vt:i4>
      </vt:variant>
      <vt:variant>
        <vt:i4>5</vt:i4>
      </vt:variant>
      <vt:variant>
        <vt:lpwstr/>
      </vt:variant>
      <vt:variant>
        <vt:lpwstr>_Toc41889239</vt:lpwstr>
      </vt:variant>
      <vt:variant>
        <vt:i4>1310774</vt:i4>
      </vt:variant>
      <vt:variant>
        <vt:i4>68</vt:i4>
      </vt:variant>
      <vt:variant>
        <vt:i4>0</vt:i4>
      </vt:variant>
      <vt:variant>
        <vt:i4>5</vt:i4>
      </vt:variant>
      <vt:variant>
        <vt:lpwstr/>
      </vt:variant>
      <vt:variant>
        <vt:lpwstr>_Toc41889238</vt:lpwstr>
      </vt:variant>
      <vt:variant>
        <vt:i4>1769526</vt:i4>
      </vt:variant>
      <vt:variant>
        <vt:i4>62</vt:i4>
      </vt:variant>
      <vt:variant>
        <vt:i4>0</vt:i4>
      </vt:variant>
      <vt:variant>
        <vt:i4>5</vt:i4>
      </vt:variant>
      <vt:variant>
        <vt:lpwstr/>
      </vt:variant>
      <vt:variant>
        <vt:lpwstr>_Toc41889237</vt:lpwstr>
      </vt:variant>
      <vt:variant>
        <vt:i4>1703990</vt:i4>
      </vt:variant>
      <vt:variant>
        <vt:i4>56</vt:i4>
      </vt:variant>
      <vt:variant>
        <vt:i4>0</vt:i4>
      </vt:variant>
      <vt:variant>
        <vt:i4>5</vt:i4>
      </vt:variant>
      <vt:variant>
        <vt:lpwstr/>
      </vt:variant>
      <vt:variant>
        <vt:lpwstr>_Toc41889236</vt:lpwstr>
      </vt:variant>
      <vt:variant>
        <vt:i4>1638454</vt:i4>
      </vt:variant>
      <vt:variant>
        <vt:i4>50</vt:i4>
      </vt:variant>
      <vt:variant>
        <vt:i4>0</vt:i4>
      </vt:variant>
      <vt:variant>
        <vt:i4>5</vt:i4>
      </vt:variant>
      <vt:variant>
        <vt:lpwstr/>
      </vt:variant>
      <vt:variant>
        <vt:lpwstr>_Toc41889235</vt:lpwstr>
      </vt:variant>
      <vt:variant>
        <vt:i4>1572918</vt:i4>
      </vt:variant>
      <vt:variant>
        <vt:i4>44</vt:i4>
      </vt:variant>
      <vt:variant>
        <vt:i4>0</vt:i4>
      </vt:variant>
      <vt:variant>
        <vt:i4>5</vt:i4>
      </vt:variant>
      <vt:variant>
        <vt:lpwstr/>
      </vt:variant>
      <vt:variant>
        <vt:lpwstr>_Toc41889234</vt:lpwstr>
      </vt:variant>
      <vt:variant>
        <vt:i4>2031670</vt:i4>
      </vt:variant>
      <vt:variant>
        <vt:i4>38</vt:i4>
      </vt:variant>
      <vt:variant>
        <vt:i4>0</vt:i4>
      </vt:variant>
      <vt:variant>
        <vt:i4>5</vt:i4>
      </vt:variant>
      <vt:variant>
        <vt:lpwstr/>
      </vt:variant>
      <vt:variant>
        <vt:lpwstr>_Toc41889233</vt:lpwstr>
      </vt:variant>
      <vt:variant>
        <vt:i4>1966134</vt:i4>
      </vt:variant>
      <vt:variant>
        <vt:i4>32</vt:i4>
      </vt:variant>
      <vt:variant>
        <vt:i4>0</vt:i4>
      </vt:variant>
      <vt:variant>
        <vt:i4>5</vt:i4>
      </vt:variant>
      <vt:variant>
        <vt:lpwstr/>
      </vt:variant>
      <vt:variant>
        <vt:lpwstr>_Toc41889232</vt:lpwstr>
      </vt:variant>
      <vt:variant>
        <vt:i4>1900598</vt:i4>
      </vt:variant>
      <vt:variant>
        <vt:i4>26</vt:i4>
      </vt:variant>
      <vt:variant>
        <vt:i4>0</vt:i4>
      </vt:variant>
      <vt:variant>
        <vt:i4>5</vt:i4>
      </vt:variant>
      <vt:variant>
        <vt:lpwstr/>
      </vt:variant>
      <vt:variant>
        <vt:lpwstr>_Toc41889231</vt:lpwstr>
      </vt:variant>
      <vt:variant>
        <vt:i4>1835062</vt:i4>
      </vt:variant>
      <vt:variant>
        <vt:i4>20</vt:i4>
      </vt:variant>
      <vt:variant>
        <vt:i4>0</vt:i4>
      </vt:variant>
      <vt:variant>
        <vt:i4>5</vt:i4>
      </vt:variant>
      <vt:variant>
        <vt:lpwstr/>
      </vt:variant>
      <vt:variant>
        <vt:lpwstr>_Toc41889230</vt:lpwstr>
      </vt:variant>
      <vt:variant>
        <vt:i4>1376311</vt:i4>
      </vt:variant>
      <vt:variant>
        <vt:i4>14</vt:i4>
      </vt:variant>
      <vt:variant>
        <vt:i4>0</vt:i4>
      </vt:variant>
      <vt:variant>
        <vt:i4>5</vt:i4>
      </vt:variant>
      <vt:variant>
        <vt:lpwstr/>
      </vt:variant>
      <vt:variant>
        <vt:lpwstr>_Toc41889229</vt:lpwstr>
      </vt:variant>
      <vt:variant>
        <vt:i4>1310775</vt:i4>
      </vt:variant>
      <vt:variant>
        <vt:i4>8</vt:i4>
      </vt:variant>
      <vt:variant>
        <vt:i4>0</vt:i4>
      </vt:variant>
      <vt:variant>
        <vt:i4>5</vt:i4>
      </vt:variant>
      <vt:variant>
        <vt:lpwstr/>
      </vt:variant>
      <vt:variant>
        <vt:lpwstr>_Toc41889228</vt:lpwstr>
      </vt:variant>
      <vt:variant>
        <vt:i4>1769527</vt:i4>
      </vt:variant>
      <vt:variant>
        <vt:i4>2</vt:i4>
      </vt:variant>
      <vt:variant>
        <vt:i4>0</vt:i4>
      </vt:variant>
      <vt:variant>
        <vt:i4>5</vt:i4>
      </vt:variant>
      <vt:variant>
        <vt:lpwstr/>
      </vt:variant>
      <vt:variant>
        <vt:lpwstr>_Toc41889227</vt:lpwstr>
      </vt:variant>
      <vt:variant>
        <vt:i4>4390950</vt:i4>
      </vt:variant>
      <vt:variant>
        <vt:i4>12</vt:i4>
      </vt:variant>
      <vt:variant>
        <vt:i4>0</vt:i4>
      </vt:variant>
      <vt:variant>
        <vt:i4>5</vt:i4>
      </vt:variant>
      <vt:variant>
        <vt:lpwstr>https://bopconsulting.sharepoint.com/sites/projects/p719/_layouts/15/Doc.aspx?sourcedoc=%7B36C7A554-0A42-49D3-A298-DD06BD5D5E27%7D&amp;file=Phase%204%20201720%20Phasing%20(Combined%20Target%20and%20Open%20Funds)%20-%20GOL%20figures.xlsx&amp;action=default&amp;mobileredirect=true</vt:lpwstr>
      </vt:variant>
      <vt:variant>
        <vt:lpwstr/>
      </vt:variant>
      <vt:variant>
        <vt:i4>1376313</vt:i4>
      </vt:variant>
      <vt:variant>
        <vt:i4>9</vt:i4>
      </vt:variant>
      <vt:variant>
        <vt:i4>0</vt:i4>
      </vt:variant>
      <vt:variant>
        <vt:i4>5</vt:i4>
      </vt:variant>
      <vt:variant>
        <vt:lpwstr>https://bopconsulting.sharepoint.com/sites/projects/p719/_layouts/15/Doc.aspx?sourcedoc=%7B634DB7D1-7255-49F1-9897-C5A825398F79%7D&amp;file=200522%20C4C%20Open%20Fund%20-%20Y3%20spend.xlsx&amp;action=default&amp;mobileredirect=true</vt:lpwstr>
      </vt:variant>
      <vt:variant>
        <vt:lpwstr/>
      </vt:variant>
      <vt:variant>
        <vt:i4>1376313</vt:i4>
      </vt:variant>
      <vt:variant>
        <vt:i4>6</vt:i4>
      </vt:variant>
      <vt:variant>
        <vt:i4>0</vt:i4>
      </vt:variant>
      <vt:variant>
        <vt:i4>5</vt:i4>
      </vt:variant>
      <vt:variant>
        <vt:lpwstr>https://bopconsulting.sharepoint.com/sites/projects/p719/_layouts/15/Doc.aspx?sourcedoc=%7B634DB7D1-7255-49F1-9897-C5A825398F79%7D&amp;file=200522%20C4C%20Open%20Fund%20-%20Y3%20spend.xlsx&amp;action=default&amp;mobileredirect=true</vt:lpwstr>
      </vt:variant>
      <vt:variant>
        <vt:lpwstr/>
      </vt:variant>
      <vt:variant>
        <vt:i4>5374013</vt:i4>
      </vt:variant>
      <vt:variant>
        <vt:i4>3</vt:i4>
      </vt:variant>
      <vt:variant>
        <vt:i4>0</vt:i4>
      </vt:variant>
      <vt:variant>
        <vt:i4>5</vt:i4>
      </vt:variant>
      <vt:variant>
        <vt:lpwstr>https://bopconsulting.sharepoint.com/:x:/r/sites/projects/p719/_layouts/15/Doc.aspx?sourcedoc=%7B36C7A554-0A42-49D3-A298-DD06BD5D5E27%7D&amp;file=Phase%204%20201720%20Phasing%20(Combined%20Target%20and%20Open%20Funds)%20-%20GOL%20figures.xlsx&amp;action=default&amp;mobileredirect=true</vt:lpwstr>
      </vt:variant>
      <vt:variant>
        <vt:lpwstr/>
      </vt:variant>
      <vt:variant>
        <vt:i4>4390950</vt:i4>
      </vt:variant>
      <vt:variant>
        <vt:i4>0</vt:i4>
      </vt:variant>
      <vt:variant>
        <vt:i4>0</vt:i4>
      </vt:variant>
      <vt:variant>
        <vt:i4>5</vt:i4>
      </vt:variant>
      <vt:variant>
        <vt:lpwstr>https://bopconsulting.sharepoint.com/sites/projects/p719/_layouts/15/Doc.aspx?sourcedoc=%7B36C7A554-0A42-49D3-A298-DD06BD5D5E27%7D&amp;file=Phase%204%20201720%20Phasing%20(Combined%20Target%20and%20Open%20Funds)%20-%20GOL%20figures.xlsx&amp;action=default&amp;mobileredirect=true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&lt;Subject&gt;</dc:subject>
  <dc:creator>Josh Dedman</dc:creator>
  <cp:keywords/>
  <dc:description/>
  <cp:lastModifiedBy>Sarah Mcadam</cp:lastModifiedBy>
  <cp:revision>10</cp:revision>
  <cp:lastPrinted>2019-09-12T08:38:00Z</cp:lastPrinted>
  <dcterms:created xsi:type="dcterms:W3CDTF">2020-07-08T15:08:00Z</dcterms:created>
  <dcterms:modified xsi:type="dcterms:W3CDTF">2020-07-08T15:15:00Z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osalBy">
    <vt:lpwstr>&lt;ProposalBy&gt;</vt:lpwstr>
  </property>
  <property fmtid="{D5CDD505-2E9C-101B-9397-08002B2CF9AE}" pid="3" name="Date">
    <vt:lpwstr>&lt;Date&gt;</vt:lpwstr>
  </property>
  <property fmtid="{D5CDD505-2E9C-101B-9397-08002B2CF9AE}" pid="4" name="Client">
    <vt:lpwstr>&lt;Client&gt;</vt:lpwstr>
  </property>
  <property fmtid="{D5CDD505-2E9C-101B-9397-08002B2CF9AE}" pid="5" name="ContentTypeId">
    <vt:lpwstr>0x01010095EB3A34B2E2174684CAFA88C7913BB9</vt:lpwstr>
  </property>
  <property fmtid="{D5CDD505-2E9C-101B-9397-08002B2CF9AE}" pid="6" name="Order">
    <vt:r8>10757000</vt:r8>
  </property>
</Properties>
</file>